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tabs>
          <w:tab w:val="clear" w:pos="708"/>
          <w:tab w:val="left" w:pos="3969" w:leader="none"/>
        </w:tabs>
        <w:spacing w:lineRule="auto" w:line="276"/>
        <w:jc w:val="center"/>
        <w:rPr>
          <w:rFonts w:cs="Times New Roman"/>
          <w:b/>
          <w:bCs/>
          <w:sz w:val="28"/>
          <w:lang w:val="pl-PL"/>
        </w:rPr>
      </w:pPr>
      <w:r>
        <w:rPr>
          <w:rFonts w:cs="Times New Roman"/>
          <w:b/>
          <w:bCs/>
          <w:sz w:val="28"/>
          <w:lang w:val="pl-PL"/>
        </w:rPr>
        <w:t>PROTOKÓŁ NR 14/2025</w:t>
      </w:r>
    </w:p>
    <w:p>
      <w:pPr>
        <w:pStyle w:val="Standard"/>
        <w:tabs>
          <w:tab w:val="clear" w:pos="708"/>
          <w:tab w:val="left" w:pos="3969" w:leader="none"/>
        </w:tabs>
        <w:spacing w:lineRule="auto" w:line="276"/>
        <w:jc w:val="center"/>
        <w:rPr>
          <w:rFonts w:cs="Times New Roman"/>
          <w:b/>
          <w:bCs/>
          <w:sz w:val="28"/>
          <w:lang w:val="pl-PL"/>
        </w:rPr>
      </w:pPr>
      <w:r>
        <w:rPr>
          <w:rFonts w:cs="Times New Roman"/>
          <w:b/>
          <w:bCs/>
          <w:sz w:val="28"/>
          <w:lang w:val="pl-PL"/>
        </w:rPr>
        <w:t>POSIEDZENIA KOMISJI BUDŻETU I FINANSÓW</w:t>
      </w:r>
    </w:p>
    <w:p>
      <w:pPr>
        <w:pStyle w:val="Standard"/>
        <w:tabs>
          <w:tab w:val="clear" w:pos="708"/>
          <w:tab w:val="left" w:pos="3969" w:leader="none"/>
        </w:tabs>
        <w:spacing w:lineRule="auto" w:line="276"/>
        <w:jc w:val="center"/>
        <w:rPr>
          <w:rFonts w:cs="Times New Roman"/>
          <w:b/>
          <w:bCs/>
          <w:sz w:val="28"/>
          <w:lang w:val="pl-PL"/>
        </w:rPr>
      </w:pPr>
      <w:r>
        <w:rPr>
          <w:rFonts w:cs="Times New Roman"/>
          <w:b/>
          <w:bCs/>
          <w:sz w:val="28"/>
          <w:lang w:val="pl-PL"/>
        </w:rPr>
        <w:t>Z DNIA 21.05.2025</w:t>
      </w:r>
    </w:p>
    <w:p>
      <w:pPr>
        <w:pStyle w:val="Normal"/>
        <w:tabs>
          <w:tab w:val="clear" w:pos="708"/>
          <w:tab w:val="left" w:pos="3969" w:leader="none"/>
        </w:tabs>
        <w:spacing w:lineRule="auto" w:line="276"/>
        <w:rPr>
          <w:rFonts w:ascii="Times New Roman" w:hAnsi="Times New Roman" w:cs="Times New Roman"/>
          <w:sz w:val="28"/>
          <w:szCs w:val="24"/>
        </w:rPr>
      </w:pPr>
      <w:r>
        <w:rPr>
          <w:rFonts w:cs="Times New Roman" w:ascii="Times New Roman" w:hAnsi="Times New Roman"/>
          <w:sz w:val="28"/>
          <w:szCs w:val="24"/>
        </w:rPr>
      </w:r>
    </w:p>
    <w:p>
      <w:pPr>
        <w:pStyle w:val="Normal"/>
        <w:tabs>
          <w:tab w:val="clear" w:pos="708"/>
          <w:tab w:val="left" w:pos="3969" w:leader="none"/>
        </w:tabs>
        <w:spacing w:lineRule="auto" w:line="276"/>
        <w:jc w:val="both"/>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Dnia 21 maja 2025 o godzinie 15:30 w Szkole Podstawowej nr 5 w Luboniu, odbyło się posiedzenie Komisji Budżetu i Finansów.</w:t>
      </w:r>
    </w:p>
    <w:p>
      <w:pPr>
        <w:pStyle w:val="Standard"/>
        <w:tabs>
          <w:tab w:val="clear" w:pos="708"/>
          <w:tab w:val="left" w:pos="3969" w:leader="none"/>
        </w:tabs>
        <w:spacing w:lineRule="auto" w:line="276"/>
        <w:jc w:val="both"/>
        <w:rPr>
          <w:rFonts w:cs="Times New Roman"/>
          <w:b/>
          <w:lang w:val="pl-PL"/>
        </w:rPr>
      </w:pPr>
      <w:r>
        <w:rPr>
          <w:rFonts w:cs="Times New Roman"/>
          <w:b/>
          <w:lang w:val="pl-PL"/>
        </w:rPr>
        <w:t>Porządek obrad:</w:t>
      </w:r>
    </w:p>
    <w:p>
      <w:pPr>
        <w:pStyle w:val="Standard"/>
        <w:numPr>
          <w:ilvl w:val="0"/>
          <w:numId w:val="2"/>
        </w:numPr>
        <w:tabs>
          <w:tab w:val="clear" w:pos="708"/>
          <w:tab w:val="left" w:pos="3969" w:leader="none"/>
        </w:tabs>
        <w:spacing w:lineRule="auto" w:line="276"/>
        <w:jc w:val="both"/>
        <w:rPr>
          <w:rFonts w:eastAsia="Times New Roman" w:cs="Times New Roman"/>
          <w:kern w:val="0"/>
          <w:lang w:val="pl-PL" w:eastAsia="pl-PL" w:bidi="ar-SA"/>
        </w:rPr>
      </w:pPr>
      <w:r>
        <w:rPr>
          <w:rFonts w:eastAsia="Times New Roman" w:cs="Times New Roman"/>
          <w:kern w:val="0"/>
          <w:lang w:val="pl-PL" w:eastAsia="pl-PL" w:bidi="ar-SA"/>
        </w:rPr>
        <w:t>Otwarcie obrad komisji i stwierdzenie quorum.</w:t>
      </w:r>
    </w:p>
    <w:p>
      <w:pPr>
        <w:pStyle w:val="Standard"/>
        <w:numPr>
          <w:ilvl w:val="0"/>
          <w:numId w:val="2"/>
        </w:numPr>
        <w:tabs>
          <w:tab w:val="clear" w:pos="708"/>
          <w:tab w:val="left" w:pos="3969" w:leader="none"/>
        </w:tabs>
        <w:spacing w:lineRule="auto" w:line="276"/>
        <w:jc w:val="both"/>
        <w:rPr>
          <w:rFonts w:eastAsia="Times New Roman" w:cs="Times New Roman"/>
          <w:kern w:val="0"/>
          <w:lang w:val="pl-PL" w:eastAsia="pl-PL" w:bidi="ar-SA"/>
        </w:rPr>
      </w:pPr>
      <w:r>
        <w:rPr>
          <w:rFonts w:eastAsia="Times New Roman" w:cs="Times New Roman"/>
          <w:kern w:val="0"/>
          <w:lang w:val="pl-PL" w:eastAsia="pl-PL" w:bidi="ar-SA"/>
        </w:rPr>
        <w:t xml:space="preserve">Przegląd gospodarki finansowej jednostki dotowanej z budżetu Miasta Luboń </w:t>
        <w:br/>
        <w:t xml:space="preserve">za rok 2024 </w:t>
      </w:r>
    </w:p>
    <w:p>
      <w:pPr>
        <w:pStyle w:val="ListParagraph"/>
        <w:numPr>
          <w:ilvl w:val="0"/>
          <w:numId w:val="2"/>
        </w:numPr>
        <w:tabs>
          <w:tab w:val="clear" w:pos="708"/>
          <w:tab w:val="left" w:pos="3969" w:leader="none"/>
        </w:tabs>
        <w:spacing w:lineRule="auto" w:line="276" w:before="0" w:after="0"/>
        <w:contextualSpacing/>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Głosowanie nad przyjęciem protokołów z wcześniejszych posiedzeń komisji</w:t>
      </w:r>
    </w:p>
    <w:p>
      <w:pPr>
        <w:pStyle w:val="Standard"/>
        <w:numPr>
          <w:ilvl w:val="0"/>
          <w:numId w:val="2"/>
        </w:numPr>
        <w:tabs>
          <w:tab w:val="clear" w:pos="708"/>
          <w:tab w:val="left" w:pos="3969" w:leader="none"/>
        </w:tabs>
        <w:spacing w:lineRule="auto" w:line="276"/>
        <w:jc w:val="both"/>
        <w:rPr>
          <w:rFonts w:eastAsia="Times New Roman" w:cs="Times New Roman"/>
          <w:kern w:val="0"/>
          <w:lang w:val="pl-PL" w:eastAsia="pl-PL" w:bidi="ar-SA"/>
        </w:rPr>
      </w:pPr>
      <w:r>
        <w:rPr>
          <w:rFonts w:eastAsia="Times New Roman" w:cs="Times New Roman"/>
          <w:kern w:val="0"/>
          <w:lang w:val="pl-PL" w:eastAsia="pl-PL" w:bidi="ar-SA"/>
        </w:rPr>
        <w:t>Wolne głosy i wnioski</w:t>
      </w:r>
    </w:p>
    <w:p>
      <w:pPr>
        <w:pStyle w:val="Standard"/>
        <w:numPr>
          <w:ilvl w:val="0"/>
          <w:numId w:val="2"/>
        </w:numPr>
        <w:tabs>
          <w:tab w:val="clear" w:pos="708"/>
          <w:tab w:val="left" w:pos="3969" w:leader="none"/>
        </w:tabs>
        <w:spacing w:lineRule="auto" w:line="276"/>
        <w:jc w:val="both"/>
        <w:rPr>
          <w:rFonts w:eastAsia="Times New Roman" w:cs="Times New Roman"/>
          <w:kern w:val="0"/>
          <w:lang w:val="pl-PL" w:eastAsia="pl-PL" w:bidi="ar-SA"/>
        </w:rPr>
      </w:pPr>
      <w:r>
        <w:rPr>
          <w:rFonts w:eastAsia="Times New Roman" w:cs="Times New Roman"/>
          <w:kern w:val="0"/>
          <w:lang w:val="pl-PL" w:eastAsia="pl-PL" w:bidi="ar-SA"/>
        </w:rPr>
        <w:t>Zakończenie posiedzenia</w:t>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Standard"/>
        <w:tabs>
          <w:tab w:val="clear" w:pos="708"/>
          <w:tab w:val="left" w:pos="3969" w:leader="none"/>
        </w:tabs>
        <w:spacing w:lineRule="auto" w:line="276"/>
        <w:rPr>
          <w:rFonts w:cs="Times New Roman"/>
          <w:b/>
          <w:bCs/>
          <w:u w:val="single"/>
          <w:lang w:val="pl-PL"/>
        </w:rPr>
      </w:pPr>
      <w:r>
        <w:rPr>
          <w:rFonts w:cs="Times New Roman"/>
          <w:b/>
          <w:bCs/>
          <w:u w:val="single"/>
          <w:lang w:val="pl-PL"/>
        </w:rPr>
        <w:t>Przebieg posiedzenia:</w:t>
      </w:r>
    </w:p>
    <w:p>
      <w:pPr>
        <w:pStyle w:val="Standard"/>
        <w:tabs>
          <w:tab w:val="clear" w:pos="708"/>
          <w:tab w:val="left" w:pos="3969" w:leader="none"/>
        </w:tabs>
        <w:spacing w:lineRule="auto" w:line="276"/>
        <w:jc w:val="both"/>
        <w:rPr>
          <w:rFonts w:cs="Times New Roman"/>
          <w:lang w:val="pl-PL"/>
        </w:rPr>
      </w:pPr>
      <w:r>
        <w:rPr>
          <w:rFonts w:cs="Times New Roman"/>
          <w:lang w:val="pl-PL"/>
        </w:rPr>
      </w:r>
    </w:p>
    <w:p>
      <w:pPr>
        <w:pStyle w:val="Standard"/>
        <w:numPr>
          <w:ilvl w:val="0"/>
          <w:numId w:val="3"/>
        </w:numPr>
        <w:tabs>
          <w:tab w:val="clear" w:pos="708"/>
          <w:tab w:val="left" w:pos="3969" w:leader="none"/>
        </w:tabs>
        <w:spacing w:lineRule="auto" w:line="276"/>
        <w:jc w:val="both"/>
        <w:rPr>
          <w:rFonts w:cs="Times New Roman"/>
          <w:b/>
          <w:u w:val="single"/>
          <w:lang w:val="pl-PL"/>
        </w:rPr>
      </w:pPr>
      <w:r>
        <w:rPr>
          <w:rFonts w:cs="Times New Roman"/>
          <w:b/>
          <w:u w:val="single"/>
          <w:lang w:val="pl-PL"/>
        </w:rPr>
        <w:t>Otwarcie obrad komisji i stwierdzenie quorum.</w:t>
      </w:r>
    </w:p>
    <w:p>
      <w:pPr>
        <w:pStyle w:val="Standard"/>
        <w:tabs>
          <w:tab w:val="clear" w:pos="708"/>
          <w:tab w:val="left" w:pos="3969" w:leader="none"/>
        </w:tabs>
        <w:spacing w:lineRule="auto" w:line="276"/>
        <w:ind w:left="1080" w:hanging="0"/>
        <w:jc w:val="both"/>
        <w:rPr>
          <w:rFonts w:cs="Times New Roman"/>
          <w:lang w:val="pl-PL"/>
        </w:rPr>
      </w:pPr>
      <w:r>
        <w:rPr>
          <w:rFonts w:cs="Times New Roman"/>
          <w:lang w:val="pl-PL"/>
        </w:rPr>
      </w:r>
    </w:p>
    <w:p>
      <w:pPr>
        <w:pStyle w:val="Standard"/>
        <w:tabs>
          <w:tab w:val="clear" w:pos="708"/>
          <w:tab w:val="left" w:pos="3969" w:leader="none"/>
        </w:tabs>
        <w:spacing w:lineRule="auto" w:line="276"/>
        <w:ind w:left="708" w:hanging="0"/>
        <w:jc w:val="both"/>
        <w:rPr>
          <w:rFonts w:cs="Times New Roman"/>
          <w:lang w:val="pl-PL"/>
        </w:rPr>
      </w:pPr>
      <w:r>
        <w:rPr>
          <w:rFonts w:cs="Times New Roman"/>
          <w:lang w:val="pl-PL"/>
        </w:rPr>
        <w:t>Obrady rozpoczęły się o godzinie 15:30 i prowadziła je Przewodnicząca Komisji Budżetu i Finansów Pani Katarzyna Ekwińska.</w:t>
      </w:r>
    </w:p>
    <w:p>
      <w:pPr>
        <w:pStyle w:val="Standard"/>
        <w:tabs>
          <w:tab w:val="clear" w:pos="708"/>
          <w:tab w:val="left" w:pos="3969" w:leader="none"/>
        </w:tabs>
        <w:spacing w:lineRule="auto" w:line="276"/>
        <w:ind w:left="1080" w:hanging="0"/>
        <w:jc w:val="both"/>
        <w:rPr>
          <w:rFonts w:cs="Times New Roman"/>
          <w:lang w:val="pl-PL"/>
        </w:rPr>
      </w:pPr>
      <w:r>
        <w:rPr>
          <w:rFonts w:cs="Times New Roman"/>
          <w:lang w:val="pl-PL"/>
        </w:rPr>
      </w:r>
    </w:p>
    <w:p>
      <w:pPr>
        <w:pStyle w:val="Standard"/>
        <w:tabs>
          <w:tab w:val="clear" w:pos="708"/>
          <w:tab w:val="left" w:pos="3969" w:leader="none"/>
        </w:tabs>
        <w:spacing w:lineRule="auto" w:line="276"/>
        <w:ind w:firstLine="708"/>
        <w:jc w:val="both"/>
        <w:rPr>
          <w:rFonts w:cs="Times New Roman"/>
          <w:lang w:val="pl-PL"/>
        </w:rPr>
      </w:pPr>
      <w:r>
        <w:rPr>
          <w:rFonts w:cs="Times New Roman"/>
          <w:lang w:val="pl-PL"/>
        </w:rPr>
        <w:t>Przeprowadzono sprawdzenie obecności.</w:t>
      </w:r>
    </w:p>
    <w:p>
      <w:pPr>
        <w:pStyle w:val="Standard"/>
        <w:tabs>
          <w:tab w:val="clear" w:pos="708"/>
          <w:tab w:val="left" w:pos="3969" w:leader="none"/>
        </w:tabs>
        <w:spacing w:lineRule="auto" w:line="276"/>
        <w:ind w:left="708" w:hanging="0"/>
        <w:jc w:val="both"/>
        <w:rPr>
          <w:rFonts w:cs="Times New Roman"/>
          <w:lang w:val="pl-PL"/>
        </w:rPr>
      </w:pPr>
      <w:r>
        <w:rPr>
          <w:rFonts w:cs="Times New Roman"/>
          <w:lang w:val="pl-PL"/>
        </w:rPr>
        <w:t xml:space="preserve">Obecnych było 10 członków komisji </w:t>
      </w:r>
    </w:p>
    <w:p>
      <w:pPr>
        <w:pStyle w:val="Standard"/>
        <w:tabs>
          <w:tab w:val="clear" w:pos="708"/>
          <w:tab w:val="left" w:pos="3969" w:leader="none"/>
        </w:tabs>
        <w:spacing w:lineRule="auto" w:line="276"/>
        <w:ind w:left="1080" w:hanging="0"/>
        <w:jc w:val="both"/>
        <w:rPr>
          <w:rFonts w:cs="Times New Roman"/>
          <w:lang w:val="pl-PL"/>
        </w:rPr>
      </w:pPr>
      <w:r>
        <w:rPr>
          <w:rFonts w:cs="Times New Roman"/>
          <w:lang w:val="pl-PL"/>
        </w:rPr>
      </w:r>
    </w:p>
    <w:tbl>
      <w:tblPr>
        <w:tblW w:w="8079" w:type="dxa"/>
        <w:jc w:val="left"/>
        <w:tblInd w:w="705" w:type="dxa"/>
        <w:tblLayout w:type="fixed"/>
        <w:tblCellMar>
          <w:top w:w="0" w:type="dxa"/>
          <w:left w:w="70" w:type="dxa"/>
          <w:bottom w:w="0" w:type="dxa"/>
          <w:right w:w="70" w:type="dxa"/>
        </w:tblCellMar>
        <w:tblLook w:firstRow="1" w:noVBand="1" w:lastRow="0" w:firstColumn="1" w:lastColumn="0" w:noHBand="0" w:val="04a0"/>
      </w:tblPr>
      <w:tblGrid>
        <w:gridCol w:w="446"/>
        <w:gridCol w:w="3663"/>
        <w:gridCol w:w="2269"/>
        <w:gridCol w:w="1700"/>
      </w:tblGrid>
      <w:tr>
        <w:trPr>
          <w:trHeight w:val="300" w:hRule="atLeast"/>
        </w:trPr>
        <w:tc>
          <w:tcPr>
            <w:tcW w:w="8078" w:type="dxa"/>
            <w:gridSpan w:val="4"/>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Lista Obecności</w:t>
            </w:r>
          </w:p>
        </w:tc>
      </w:tr>
      <w:tr>
        <w:trPr>
          <w:trHeight w:val="300" w:hRule="atLeast"/>
        </w:trPr>
        <w:tc>
          <w:tcPr>
            <w:tcW w:w="44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l.p.</w:t>
            </w:r>
          </w:p>
        </w:tc>
        <w:tc>
          <w:tcPr>
            <w:tcW w:w="3663" w:type="dxa"/>
            <w:tcBorders>
              <w:top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imię i nazwisko</w:t>
            </w:r>
          </w:p>
        </w:tc>
        <w:tc>
          <w:tcPr>
            <w:tcW w:w="2269" w:type="dxa"/>
            <w:tcBorders>
              <w:top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stanowisko</w:t>
            </w:r>
          </w:p>
        </w:tc>
        <w:tc>
          <w:tcPr>
            <w:tcW w:w="1700" w:type="dxa"/>
            <w:tcBorders>
              <w:top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obecność</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1</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Katarzyna Ekwińska</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przewodnicząca</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2</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Monika Izabela Nawrot</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wiceprzewodnicząca</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3</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Maciej Różański</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sekretarz</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4</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Karolina Monika Wilczyńska-Kąkol</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5</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Jakub Przemysław Jelinski</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6</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Teresa Zygmanowska</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7</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Hieronim Gawelski</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8</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Konrad Dominiak</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9</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Elżbieta Zapłata-Szwedziak</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10</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Piotr Łukasz Izydorski</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bl>
    <w:p>
      <w:pPr>
        <w:pStyle w:val="Standard"/>
        <w:tabs>
          <w:tab w:val="clear" w:pos="708"/>
          <w:tab w:val="left" w:pos="3969" w:leader="none"/>
        </w:tabs>
        <w:spacing w:lineRule="auto" w:line="276"/>
        <w:ind w:firstLine="708"/>
        <w:jc w:val="both"/>
        <w:rPr>
          <w:rFonts w:cs="Times New Roman"/>
          <w:lang w:val="pl-PL"/>
        </w:rPr>
      </w:pPr>
      <w:r>
        <w:rPr>
          <w:rFonts w:cs="Times New Roman"/>
          <w:lang w:val="pl-PL"/>
        </w:rPr>
        <w:t>Stwierdzono quorum.</w:t>
      </w:r>
    </w:p>
    <w:p>
      <w:pPr>
        <w:pStyle w:val="Standard"/>
        <w:tabs>
          <w:tab w:val="clear" w:pos="708"/>
          <w:tab w:val="left" w:pos="3969" w:leader="none"/>
        </w:tabs>
        <w:spacing w:lineRule="auto" w:line="276"/>
        <w:ind w:firstLine="708"/>
        <w:jc w:val="both"/>
        <w:rPr>
          <w:rFonts w:cs="Times New Roman"/>
          <w:lang w:val="pl-PL"/>
        </w:rPr>
      </w:pPr>
      <w:r>
        <w:rPr>
          <w:rFonts w:cs="Times New Roman"/>
          <w:lang w:val="pl-PL"/>
        </w:rPr>
      </w:r>
    </w:p>
    <w:p>
      <w:pPr>
        <w:pStyle w:val="Standard"/>
        <w:tabs>
          <w:tab w:val="clear" w:pos="708"/>
          <w:tab w:val="left" w:pos="3969" w:leader="none"/>
        </w:tabs>
        <w:spacing w:lineRule="auto" w:line="276"/>
        <w:ind w:firstLine="708"/>
        <w:jc w:val="both"/>
        <w:rPr>
          <w:rFonts w:cs="Times New Roman"/>
          <w:lang w:val="pl-PL"/>
        </w:rPr>
      </w:pPr>
      <w:r>
        <w:rPr>
          <w:rFonts w:cs="Times New Roman"/>
          <w:lang w:val="pl-PL"/>
        </w:rPr>
        <w:t>W obradach uczestniczyły następujące osoby:</w:t>
      </w:r>
    </w:p>
    <w:p>
      <w:pPr>
        <w:pStyle w:val="Standard"/>
        <w:tabs>
          <w:tab w:val="clear" w:pos="708"/>
          <w:tab w:val="left" w:pos="3969" w:leader="none"/>
        </w:tabs>
        <w:spacing w:lineRule="auto" w:line="276"/>
        <w:ind w:firstLine="708"/>
        <w:jc w:val="both"/>
        <w:rPr>
          <w:rFonts w:cs="Times New Roman"/>
          <w:lang w:val="pl-PL"/>
        </w:rPr>
      </w:pPr>
      <w:r>
        <w:rPr>
          <w:rFonts w:cs="Times New Roman"/>
          <w:lang w:val="pl-PL"/>
        </w:rPr>
        <w:t>Jolanta Walczak – Dyrektor Szkoły Podstawowej nr 5 w Luboniu</w:t>
      </w:r>
    </w:p>
    <w:p>
      <w:pPr>
        <w:pStyle w:val="Standard"/>
        <w:tabs>
          <w:tab w:val="clear" w:pos="708"/>
          <w:tab w:val="left" w:pos="3969" w:leader="none"/>
        </w:tabs>
        <w:spacing w:lineRule="auto" w:line="276"/>
        <w:ind w:firstLine="708"/>
        <w:jc w:val="both"/>
        <w:rPr>
          <w:rFonts w:cs="Times New Roman"/>
          <w:lang w:val="pl-PL"/>
        </w:rPr>
      </w:pPr>
      <w:r>
        <w:rPr>
          <w:rFonts w:cs="Times New Roman"/>
          <w:lang w:val="pl-PL"/>
        </w:rPr>
        <w:t>Violetta Sofczyńska – Główna Księgowa w Szkole Podstawowej nr 5 w Luboniu</w:t>
      </w:r>
    </w:p>
    <w:p>
      <w:pPr>
        <w:pStyle w:val="Standard"/>
        <w:numPr>
          <w:ilvl w:val="0"/>
          <w:numId w:val="3"/>
        </w:numPr>
        <w:tabs>
          <w:tab w:val="clear" w:pos="708"/>
          <w:tab w:val="left" w:pos="3969" w:leader="none"/>
        </w:tabs>
        <w:spacing w:lineRule="auto" w:line="276"/>
        <w:jc w:val="both"/>
        <w:rPr>
          <w:rFonts w:eastAsia="Times New Roman" w:cs="Times New Roman"/>
          <w:b/>
          <w:kern w:val="0"/>
          <w:u w:val="single"/>
          <w:lang w:val="pl-PL" w:eastAsia="pl-PL" w:bidi="ar-SA"/>
        </w:rPr>
      </w:pPr>
      <w:r>
        <w:rPr>
          <w:rFonts w:eastAsia="Times New Roman" w:cs="Times New Roman"/>
          <w:b/>
          <w:kern w:val="0"/>
          <w:u w:val="single"/>
          <w:lang w:val="pl-PL" w:eastAsia="pl-PL" w:bidi="ar-SA"/>
        </w:rPr>
        <w:t xml:space="preserve">Przegląd gospodarki finansowej jednostki dotowanej z budżetu Miasta Luboń </w:t>
        <w:br/>
        <w:t xml:space="preserve">za rok 2024  </w:t>
      </w:r>
    </w:p>
    <w:p>
      <w:pPr>
        <w:pStyle w:val="NormalWeb"/>
        <w:spacing w:lineRule="auto" w:line="276" w:before="280" w:after="280"/>
        <w:ind w:left="708" w:hanging="0"/>
        <w:jc w:val="both"/>
        <w:rPr/>
      </w:pPr>
      <w:r>
        <w:rPr/>
        <w:t xml:space="preserve">W ramach przygotowań do posiedzenia Komisji Budżetu i Finansów radni otrzymali </w:t>
        <w:br/>
        <w:t xml:space="preserve">w dniu 9 maja 2025 r., drogą elektroniczną, materiał pt. </w:t>
      </w:r>
      <w:r>
        <w:rPr>
          <w:i/>
          <w:iCs/>
        </w:rPr>
        <w:t>„Sprawozdanie z wykonania budżetu za 2024 rok w Szkole Podstawowej nr 5 w Luboniu”</w:t>
      </w:r>
      <w:r>
        <w:rPr/>
        <w:t xml:space="preserve">, przesłany przez główną księgową szkoły, Panią Violettę Sofczyńską. Dokument ten stanowił podstawę </w:t>
        <w:br/>
        <w:t xml:space="preserve">do analizy i dyskusji podczas obrad komisji i został dołączony do niniejszego protokołu jako </w:t>
      </w:r>
      <w:r>
        <w:rPr>
          <w:b/>
          <w:bCs/>
        </w:rPr>
        <w:t>Załącznik nr 1</w:t>
      </w:r>
      <w:r>
        <w:rPr/>
        <w:t>.</w:t>
      </w:r>
    </w:p>
    <w:p>
      <w:pPr>
        <w:pStyle w:val="NormalWeb"/>
        <w:spacing w:lineRule="auto" w:line="276" w:before="280" w:after="280"/>
        <w:ind w:left="708" w:hanging="0"/>
        <w:jc w:val="both"/>
        <w:rPr/>
      </w:pPr>
      <w:r>
        <w:rPr/>
        <w:t xml:space="preserve">Na podstawie przesłanego dokumentu członkowie komisji przeprowadzili szczegółową dyskusję oraz zadawali pytania dotyczące zarówno poszczególnych pozycji budżetowych, jak i ogólnej realizacji planu finansowego szkoły za 2024 rok, a także poruszali kwestie związane z funkcjonowaniem placówki, niezwiązane bezpośrednio </w:t>
        <w:br/>
        <w:t>z treścią sprawozdania.</w:t>
      </w:r>
    </w:p>
    <w:p>
      <w:pPr>
        <w:pStyle w:val="NormalWeb"/>
        <w:spacing w:lineRule="auto" w:line="276" w:before="280" w:after="280"/>
        <w:ind w:left="708" w:hanging="0"/>
        <w:jc w:val="both"/>
        <w:rPr/>
      </w:pPr>
      <w:r>
        <w:rPr>
          <w:rStyle w:val="Strong"/>
        </w:rPr>
        <w:t xml:space="preserve">Omówienie kosztów usług telekomunikacyjnych w Szkole Podstawowej nr 5 </w:t>
        <w:br/>
        <w:t>w Luboniu</w:t>
      </w:r>
    </w:p>
    <w:p>
      <w:pPr>
        <w:pStyle w:val="NormalWeb"/>
        <w:spacing w:lineRule="auto" w:line="276" w:before="280" w:after="280"/>
        <w:ind w:left="708" w:hanging="0"/>
        <w:jc w:val="both"/>
        <w:rPr/>
      </w:pPr>
      <w:r>
        <w:rPr/>
        <w:t>Radna Katarzyna Ekwińska zwróciła uwagę na pozycję „zakup usług telekomunikacyjnych” w planie finansowym szkoły, wskazując, że roczny koszt tej pozycji wynosi 7 185 zł, co daje średnio 554,98 zł miesięcznie. Zapytała o szczegóły tej kwoty – w szczególności o liczbę rozliczanych telefonów komórkowych oraz koszty internetu.</w:t>
      </w:r>
    </w:p>
    <w:p>
      <w:pPr>
        <w:pStyle w:val="NormalWeb"/>
        <w:spacing w:lineRule="auto" w:line="276" w:before="280" w:after="280"/>
        <w:ind w:left="708" w:hanging="0"/>
        <w:jc w:val="both"/>
        <w:rPr/>
      </w:pPr>
      <w:r>
        <w:rPr/>
        <w:t>Dyrekcja szkoły poinformowała, że w ramach tej kwoty rozliczane są dwa telefony komórkowe oraz internet stacjonarny. Koszt internetu wynosi około 360–390 zł miesięcznie, natomiast pozostała część to koszty telefonów komórkowych, które – jak zaznaczono – nie są wysokie.</w:t>
      </w:r>
    </w:p>
    <w:p>
      <w:pPr>
        <w:pStyle w:val="NormalWeb"/>
        <w:spacing w:lineRule="auto" w:line="276" w:before="280" w:after="280"/>
        <w:ind w:left="708" w:hanging="0"/>
        <w:jc w:val="both"/>
        <w:rPr/>
      </w:pPr>
      <w:r>
        <w:rPr/>
        <w:t>Radny Maciej Różański dopytał o szczegóły techniczne łącza internetowego. Dyrektor szkoły poinformowała, że szkoła korzysta z usług firmy INEA, a dostęp do internetu realizowany jest przez światłowód, co jest niezbędne ze względu na dużą liczbę komputerów wykorzystywanych zarówno przez uczniów w trakcie zajęć z informatyki, jak i przez nauczycieli.</w:t>
      </w:r>
    </w:p>
    <w:p>
      <w:pPr>
        <w:pStyle w:val="NormalWeb"/>
        <w:spacing w:lineRule="auto" w:line="276" w:before="280" w:after="280"/>
        <w:ind w:left="708" w:hanging="0"/>
        <w:jc w:val="both"/>
        <w:rPr/>
      </w:pPr>
      <w:r>
        <w:rPr/>
        <w:t>W toku dalszej dyskusji poruszono również kwestię sal lekcyjnych przeznaczonych do zajęć informatycznych. Aktualnie w szkole funkcjonują trzy pracownie, w tym dwie mniejsze – częściowo wykorzystywane także do nauki języków obcych – oraz jedna większa, nowo utworzona sala nr 204, w której realizowane są zajęcia dla klas 4–8. Zmiany w organizacji sal mają charakter przejściowy i planowane są dalsze modyfikacje w celu lepszego dostosowania przestrzeni do potrzeb uczniów.</w:t>
      </w:r>
    </w:p>
    <w:p>
      <w:pPr>
        <w:pStyle w:val="NormalWeb"/>
        <w:spacing w:lineRule="auto" w:line="276" w:before="280" w:after="280"/>
        <w:ind w:left="708" w:hanging="0"/>
        <w:jc w:val="both"/>
        <w:rPr>
          <w:rStyle w:val="Strong"/>
        </w:rPr>
      </w:pPr>
      <w:r>
        <w:rPr/>
      </w:r>
    </w:p>
    <w:p>
      <w:pPr>
        <w:pStyle w:val="NormalWeb"/>
        <w:spacing w:lineRule="auto" w:line="276" w:before="280" w:after="280"/>
        <w:ind w:left="708" w:hanging="0"/>
        <w:jc w:val="both"/>
        <w:rPr/>
      </w:pPr>
      <w:r>
        <w:rPr>
          <w:rStyle w:val="Strong"/>
        </w:rPr>
        <w:t>Omówienie potrzeb remontowych Szkoły Podstawowej nr 5 w Luboniu</w:t>
      </w:r>
    </w:p>
    <w:p>
      <w:pPr>
        <w:pStyle w:val="NormalWeb"/>
        <w:spacing w:lineRule="auto" w:line="276" w:before="280" w:after="280"/>
        <w:ind w:left="708" w:hanging="0"/>
        <w:jc w:val="both"/>
        <w:rPr/>
      </w:pPr>
      <w:r>
        <w:rPr/>
        <w:t xml:space="preserve">Radna Katarzyna Ekwińska zapytała o aktualne oraz planowane potrzeby remontowe placówki. Dyrektor szkoły wskazała, że budynek szkoły liczy obecnie ponad 20 lat </w:t>
        <w:br/>
        <w:t>i z każdym kolejnym rokiem pojawiają się nowe wyzwania techniczne, wymagające zarówno bieżących napraw, jak i większych inwestycji remontowych.</w:t>
      </w:r>
    </w:p>
    <w:p>
      <w:pPr>
        <w:pStyle w:val="NormalWeb"/>
        <w:spacing w:lineRule="auto" w:line="276" w:before="280" w:after="280"/>
        <w:ind w:left="708" w:hanging="0"/>
        <w:jc w:val="both"/>
        <w:rPr/>
      </w:pPr>
      <w:r>
        <w:rPr/>
        <w:t xml:space="preserve">W szczególności podkreślono konieczność kontynuacji remontu dachu – działania </w:t>
        <w:br/>
        <w:t>te prowadzone są już trzeci rok z rzędu. Na bieżący rok zabezpieczono na ten cel kwotę 70 tys. zł. Prace obejmą m.in. obróbki blacharskie oraz montaż nowych parapetów. Dyrekcja wyraziła nadzieję, że po zakończeniu tych działań dach nie będzie już wymagał dalszych interwencji.</w:t>
      </w:r>
    </w:p>
    <w:p>
      <w:pPr>
        <w:pStyle w:val="NormalWeb"/>
        <w:spacing w:lineRule="auto" w:line="276" w:before="280" w:after="280"/>
        <w:ind w:left="708" w:hanging="0"/>
        <w:jc w:val="both"/>
        <w:rPr/>
      </w:pPr>
      <w:r>
        <w:rPr/>
        <w:t xml:space="preserve">Zasygnalizowano również pojawiające się pęknięcia na schodach oraz pogarszający się stan łazienek, których modernizacja jest w najbliższych planach remontowych. Szczególną uwagę zwrócono na stan techniczny pomieszczeń w piwnicy – znajduje się tam gabinet psychologa i pedagoga oraz mniejsze sale lekcyjne. Pomieszczenia </w:t>
        <w:br/>
        <w:t>te wymagają malowania i ogólnego odświeżenia, jednak ze względu na ograniczone środki remonty będą rozłożone na kilka lat.</w:t>
      </w:r>
    </w:p>
    <w:p>
      <w:pPr>
        <w:pStyle w:val="NormalWeb"/>
        <w:spacing w:lineRule="auto" w:line="276" w:before="280" w:after="280"/>
        <w:ind w:left="708" w:hanging="0"/>
        <w:jc w:val="both"/>
        <w:rPr/>
      </w:pPr>
      <w:r>
        <w:rPr/>
        <w:t xml:space="preserve">Dyrektor zauważyła, że wiele problemów technicznych to efekt wieku budynku oraz jakości wykonania niektórych elementów – np. balkonów, które nie są użytkowane, </w:t>
        <w:br/>
        <w:t>a stanowią jedynie niepraktyczną ozdobę i źródło problemów z przeciekaniem wody. Woda dostaje się również przez szczeliny w cegłach i inne nieszczelności elewacyjne. Wskazano również na podobieństwa techniczne i okres budowy między budynkiem SP5 a obiektem LOSiR-u, który również zmaga się z przeciekającym dachem i podobnymi usterkami konstrukcyjnymi.</w:t>
      </w:r>
    </w:p>
    <w:p>
      <w:pPr>
        <w:pStyle w:val="NormalWeb"/>
        <w:spacing w:lineRule="auto" w:line="276" w:before="280" w:after="280"/>
        <w:ind w:left="708" w:hanging="0"/>
        <w:jc w:val="both"/>
        <w:rPr/>
      </w:pPr>
      <w:r>
        <w:rPr/>
        <w:t>Podkreślono, że szkoła współpracuje z inżynierem wspierającym ocenę i planowanie prac remontowych. Dyrekcja planuje systematyczne wnioskowanie o środki z budżetu miasta, tak aby krok po kroku eliminować najpilniejsze problemy techniczne obiektu.</w:t>
      </w:r>
    </w:p>
    <w:p>
      <w:pPr>
        <w:pStyle w:val="NormalWeb"/>
        <w:spacing w:lineRule="auto" w:line="276" w:before="280" w:after="280"/>
        <w:ind w:left="708" w:hanging="0"/>
        <w:jc w:val="both"/>
        <w:rPr/>
      </w:pPr>
      <w:r>
        <w:rPr>
          <w:rStyle w:val="Strong"/>
        </w:rPr>
        <w:t>Informacja na temat liczby uczniów-obcokrajowców w Szkole Podstawowej nr 5 w Luboniu</w:t>
      </w:r>
    </w:p>
    <w:p>
      <w:pPr>
        <w:pStyle w:val="NormalWeb"/>
        <w:spacing w:lineRule="auto" w:line="276" w:before="280" w:after="280"/>
        <w:ind w:left="708" w:hanging="0"/>
        <w:jc w:val="both"/>
        <w:rPr/>
      </w:pPr>
      <w:r>
        <w:rPr/>
        <w:t>Radna Elżbieta Zapłata-Szwdziak zapytała o liczbę uczniów będących obywatelami innych państw, uczęszczających obecnie do szkoły. Dyrekcja poinformowała, że w roku szkolnym 2024/2025 do placówki uczęszcza łącznie trzynaścioro dzieci będących obcokrajowcami, w tym dwanaścioro dzieci pochodzących z Ukrainy oraz jedno dziecko z Białorusi.</w:t>
      </w:r>
    </w:p>
    <w:p>
      <w:pPr>
        <w:pStyle w:val="NormalWeb"/>
        <w:spacing w:lineRule="auto" w:line="276" w:before="280" w:after="280"/>
        <w:ind w:left="708" w:hanging="0"/>
        <w:jc w:val="both"/>
        <w:rPr/>
      </w:pPr>
      <w:r>
        <w:rPr>
          <w:rStyle w:val="Strong"/>
        </w:rPr>
        <w:br/>
        <w:br/>
        <w:br/>
        <w:t>Organizacja czasu zajęć lekcyjnych oraz wzrost liczby klas w Szkole Podstawowej nr 5 w Luboniu</w:t>
      </w:r>
    </w:p>
    <w:p>
      <w:pPr>
        <w:pStyle w:val="NormalWeb"/>
        <w:spacing w:lineRule="auto" w:line="276" w:before="280" w:after="280"/>
        <w:ind w:left="708" w:hanging="0"/>
        <w:jc w:val="both"/>
        <w:rPr/>
      </w:pPr>
      <w:r>
        <w:rPr/>
        <w:t xml:space="preserve">Radny Hieronim Gawelski zapytał, o której godzinie uczniowie rozpoczynają naukę. Dyrekcja poinformowała, że zajęcia lekcyjne rozpoczynają się standardowo o godzinie 8:00, jednak zdarzają się również wcześniejsze godziny, takie jak 7:10, oraz późniejsze, nawet od godziny 10:00. W tych niestandardowych godzinach odbywają się głównie zajęcia wyrównawcze, doradztwo zawodowe oraz lekcje religii, które – zgodnie </w:t>
        <w:br/>
        <w:t>z przepisami – organizowane są na początku lub na końcu planu lekcji.</w:t>
      </w:r>
    </w:p>
    <w:p>
      <w:pPr>
        <w:pStyle w:val="NormalWeb"/>
        <w:spacing w:lineRule="auto" w:line="276" w:before="280" w:after="280"/>
        <w:ind w:left="708" w:hanging="0"/>
        <w:jc w:val="both"/>
        <w:rPr/>
      </w:pPr>
      <w:r>
        <w:rPr/>
        <w:t>Zajęcia kończą się w różnych godzinach, w zależności od klasy i planu danego dnia. Podczas obrad komisji w szkole wciąż trwały lekcje w ostatnich godzinach przewidzianych planem. Dyrekcja zaznaczyła, że w nadchodzącym roku szkolnym 2024/2025 sytuacja stanie się bardziej wymagająca z uwagi na zwiększającą się liczbę uczniów – szkoła spodziewa się przekroczenia liczby 700 uczniów.</w:t>
      </w:r>
    </w:p>
    <w:p>
      <w:pPr>
        <w:pStyle w:val="NormalWeb"/>
        <w:spacing w:lineRule="auto" w:line="276" w:before="280" w:after="280"/>
        <w:ind w:left="708" w:hanging="0"/>
        <w:jc w:val="both"/>
        <w:rPr/>
      </w:pPr>
      <w:r>
        <w:rPr/>
        <w:t>W związku z tym konieczne będzie dalsze wykorzystanie wczesnych godzin porannych oraz rozszerzenie planu zajęć na późniejsze godziny popołudniowe. W bieżącym roku szkoła kończy pracę z dwiema klasami ósmymi, co było efektem mniej licznego rocznika. W niższych rocznikach liczba klas jest większa – w większości poziomów funkcjonują cztery klasy, a w przyszłym roku planowane są aż pięć klas siódmych.</w:t>
      </w:r>
    </w:p>
    <w:p>
      <w:pPr>
        <w:pStyle w:val="NormalWeb"/>
        <w:spacing w:lineRule="auto" w:line="276" w:before="280" w:after="280"/>
        <w:ind w:left="708" w:hanging="0"/>
        <w:jc w:val="both"/>
        <w:rPr/>
      </w:pPr>
      <w:r>
        <w:rPr/>
        <w:t>Dyrekcja podkreśliła, że wraz ze wzrostem liczby uczniów rosną także potrzeby kadrowe – szczególnie poszukiwani są nauczyciele matematyki.</w:t>
      </w:r>
    </w:p>
    <w:p>
      <w:pPr>
        <w:pStyle w:val="NormalWeb"/>
        <w:spacing w:lineRule="auto" w:line="276" w:before="280" w:after="280"/>
        <w:ind w:left="708" w:hanging="0"/>
        <w:jc w:val="both"/>
        <w:rPr/>
      </w:pPr>
      <w:r>
        <w:rPr>
          <w:rStyle w:val="Strong"/>
        </w:rPr>
        <w:t>Wprowadzenie nowego przedmiotu z zakresu zdrowego stylu życia w roku szkolnym 2024/2025 w Szkole Podstawowej nr 5 w Luboniu</w:t>
      </w:r>
    </w:p>
    <w:p>
      <w:pPr>
        <w:pStyle w:val="NormalWeb"/>
        <w:spacing w:lineRule="auto" w:line="276" w:before="280" w:after="280"/>
        <w:ind w:left="708" w:hanging="0"/>
        <w:jc w:val="both"/>
        <w:rPr/>
      </w:pPr>
      <w:r>
        <w:rPr/>
        <w:t>Radna Elżbieta Zapłata-Szwedziak zapytała o planowane wprowadzenie nowego przedmiotu w nadchodzącym roku szkolnym. Dyrekcja poinformowała, że w planie nauczania pojawi się nowy przedmiot dotyczący zdrowego stylu życia, ze szczególnym uwzględnieniem zasad prawidłowego odżywiania oraz kształtowania prozdrowotnych nawyków u dzieci i młodzieży.</w:t>
      </w:r>
    </w:p>
    <w:p>
      <w:pPr>
        <w:pStyle w:val="NormalWeb"/>
        <w:spacing w:lineRule="auto" w:line="276" w:before="280" w:after="280"/>
        <w:ind w:left="708" w:hanging="0"/>
        <w:jc w:val="both"/>
        <w:rPr/>
      </w:pPr>
      <w:r>
        <w:rPr/>
        <w:t>Zajęcia będą prowadzone przez nauczyciela, który ukończył odpowiednie studia podyplomowe. Dyrekcja wskazała również, że tematyką interesują się także niektórzy nauczyciele wychowania fizycznego, którzy mogliby w przyszłości włączyć się w realizację tych treści. Szczegóły organizacyjne dotyczące realizacji przedmiotu będą ustalane na dalszym etapie, w zależności od możliwości szkoły.</w:t>
      </w:r>
    </w:p>
    <w:p>
      <w:pPr>
        <w:pStyle w:val="NormalWeb"/>
        <w:spacing w:lineRule="auto" w:line="276" w:before="280" w:after="280"/>
        <w:ind w:left="708" w:hanging="0"/>
        <w:jc w:val="both"/>
        <w:rPr/>
      </w:pPr>
      <w:r>
        <w:rPr>
          <w:rStyle w:val="Strong"/>
        </w:rPr>
        <w:t xml:space="preserve">Informacja na temat wynajmów pomieszczeń w Szkole Podstawowej nr 5 </w:t>
        <w:br/>
        <w:t>w Luboniu</w:t>
      </w:r>
    </w:p>
    <w:p>
      <w:pPr>
        <w:pStyle w:val="NormalWeb"/>
        <w:spacing w:lineRule="auto" w:line="276" w:before="280" w:after="280"/>
        <w:ind w:left="708" w:hanging="0"/>
        <w:jc w:val="both"/>
        <w:rPr/>
      </w:pPr>
      <w:r>
        <w:rPr/>
        <w:t>Radna Elżbieta Zapłata-Szwedziak zapytała o przychody z tytułu wynajmu pomieszczeń szkolnych oraz o to, czy budynek szkoły jest udostępniany podmiotom zewnętrznym. Dyrekcja poinformowała, że wynajmy obejmują przede wszystkim funkcjonowanie sklepiku szkolnego, który działa przez około 10 miesięcy w roku szkolnym. Dodatkowe wynajmy mają miejsce głównie w okresach ferii zimowych oraz wakacji.</w:t>
      </w:r>
    </w:p>
    <w:p>
      <w:pPr>
        <w:pStyle w:val="NormalWeb"/>
        <w:spacing w:lineRule="auto" w:line="276" w:before="280" w:after="280"/>
        <w:ind w:left="708" w:hanging="0"/>
        <w:jc w:val="both"/>
        <w:rPr/>
      </w:pPr>
      <w:r>
        <w:rPr/>
        <w:t>W okresie letnim część pomieszczeń szkoły wynajmowana jest np. na potrzeby organizacji zajęć sportowych lub kolonii. Dyrekcja wskazała, że w nadchodzące wakacje planowane są turnusy prowadzone przez LOSiR.</w:t>
      </w:r>
    </w:p>
    <w:p>
      <w:pPr>
        <w:pStyle w:val="NormalWeb"/>
        <w:spacing w:lineRule="auto" w:line="276" w:before="280" w:after="280"/>
        <w:ind w:left="708" w:hanging="0"/>
        <w:jc w:val="both"/>
        <w:rPr/>
      </w:pPr>
      <w:r>
        <w:rPr>
          <w:rStyle w:val="Strong"/>
        </w:rPr>
        <w:t>Koszty energii oraz kwestie związane z kompensacją mocy biernej i instalacją fotowoltaiczną w Szkole Podstawowej nr 5 w Luboniu</w:t>
      </w:r>
    </w:p>
    <w:p>
      <w:pPr>
        <w:pStyle w:val="NormalWeb"/>
        <w:spacing w:lineRule="auto" w:line="276" w:before="280" w:after="280"/>
        <w:ind w:left="708" w:hanging="0"/>
        <w:jc w:val="both"/>
        <w:rPr/>
      </w:pPr>
      <w:r>
        <w:rPr/>
        <w:t xml:space="preserve">Radny Maciej Różański poruszył temat rosnących kosztów energii i gazu, z którymi mierzą się szkoły w związku ze wzrostem taryf. Zapytał, czy Szkoła Podstawowa nr 5 rozważa inwestycję w urządzenie do kompensacji mocy biernej – podobnie jak miało </w:t>
        <w:br/>
        <w:t>to miejsce w Szkole Podstawowej nr 1, gdzie w budżecie zaplanowano zakup kompensatora, aby zminimalizować opłaty za energię bierną przekraczającą wartości umowne.</w:t>
      </w:r>
    </w:p>
    <w:p>
      <w:pPr>
        <w:pStyle w:val="NormalWeb"/>
        <w:spacing w:lineRule="auto" w:line="276" w:before="280" w:after="280"/>
        <w:ind w:left="708" w:hanging="0"/>
        <w:jc w:val="both"/>
        <w:rPr/>
      </w:pPr>
      <w:r>
        <w:rPr/>
        <w:t>Pani Dyrektor wyjaśniła, że w SP5 monitoruje się sytuację na bieżąco. Obecnie opłaty za energię bierną są niewielkie lub zerowe i nie uzasadniają zakupu takiego urządzenia, którego koszt inwestycyjny (ok. 18 tys. zł) byłby nieopłacalny przy aktualnym poziomie naliczanych kar. Szkoła pozostaje w kontakcie z Urzędem Miasta, przekazując cykliczne zestawienia zużycia oraz parametrów z liczników, a decyzje inwestycyjne będą podejmowane dopiero w przypadku stwierdzenia istotnych i trwałych przekroczeń.</w:t>
      </w:r>
    </w:p>
    <w:p>
      <w:pPr>
        <w:pStyle w:val="NormalWeb"/>
        <w:spacing w:lineRule="auto" w:line="276" w:before="280" w:after="280"/>
        <w:ind w:left="708" w:hanging="0"/>
        <w:jc w:val="both"/>
        <w:rPr/>
      </w:pPr>
      <w:r>
        <w:rPr/>
        <w:t xml:space="preserve">Radny Różański poruszył również temat fotowoltaiki. Pani Dyrektor poinformowała, że szkoła posiada instalację fotowoltaiczną i funkcjonuje jako prosument. Energia wytwarzana przez szkołę jest zużywana bezpośrednio, natomiast nadwyżki – zgodnie </w:t>
        <w:br/>
        <w:t xml:space="preserve">z obowiązującym systemem rozliczeń – oddawane są do sieci, z której korzysta m.in. LOSiR. Wskazano, że obecne zasady rozliczeń (tzw. net billing) różnią się </w:t>
        <w:br/>
        <w:t>od wcześniejszych, bardziej korzystnych systemów (net metering), które umożliwiały magazynowanie energii w systemie rocznym. Obecne rozwiązanie wymaga bieżącego zużycia energii, co może wpływać na opłacalność inwestycji.</w:t>
      </w:r>
    </w:p>
    <w:p>
      <w:pPr>
        <w:pStyle w:val="NormalWeb"/>
        <w:spacing w:lineRule="auto" w:line="276" w:before="280" w:after="280"/>
        <w:ind w:left="708" w:hanging="0"/>
        <w:jc w:val="both"/>
        <w:rPr/>
      </w:pPr>
      <w:r>
        <w:rPr/>
        <w:t xml:space="preserve">W toku dyskusji zwrócono uwagę, że przewymiarowanie instalacji fotowoltaicznych </w:t>
        <w:br/>
        <w:t>– jak miało to miejsce w niektórych innych miejskich placówkach – może prowadzić do niewykorzystania pełnego potencjału produkcyjnego, a tym samym do niskiej efektywności ekonomicznej inwestycji. Zauważono również, że najwyższa produkcja energii przypada na miesiące wiosenne (kwiecień–czerwiec), przy czym warunki optymalne to niska temperatura otoczenia i duże nasłonecznienie.</w:t>
      </w:r>
    </w:p>
    <w:p>
      <w:pPr>
        <w:pStyle w:val="NormalWeb"/>
        <w:spacing w:lineRule="auto" w:line="276" w:before="280" w:after="280"/>
        <w:ind w:left="708" w:hanging="0"/>
        <w:jc w:val="both"/>
        <w:rPr/>
      </w:pPr>
      <w:r>
        <w:rPr>
          <w:rStyle w:val="Strong"/>
        </w:rPr>
        <w:br/>
        <w:br/>
        <w:br/>
        <w:t>Szkolenie nauczycieli w ramach programu profilaktyczno-wychowawczego</w:t>
      </w:r>
    </w:p>
    <w:p>
      <w:pPr>
        <w:pStyle w:val="NormalWeb"/>
        <w:spacing w:lineRule="auto" w:line="276" w:before="280" w:after="280"/>
        <w:ind w:left="708" w:hanging="0"/>
        <w:jc w:val="both"/>
        <w:rPr/>
      </w:pPr>
      <w:r>
        <w:rPr/>
        <w:t xml:space="preserve">Radny Konrad Dominiak zapytał o pozycję dotyczącą szkoleń nauczycieli w ramach jednego z programów ujętych w budżecie szkoły. Pani Dyrektor wyjaśniła, że chodzi </w:t>
        <w:br/>
        <w:t>o dedykowany program profilaktyczno-wychowawczy, którego celem było wyposażenie nauczycieli w kompetencje z zakresu wsparcia psychologiczno-pedagogicznego w pracy z uczniami.</w:t>
      </w:r>
    </w:p>
    <w:p>
      <w:pPr>
        <w:pStyle w:val="NormalWeb"/>
        <w:spacing w:lineRule="auto" w:line="276" w:before="280" w:after="280"/>
        <w:ind w:left="708" w:hanging="0"/>
        <w:jc w:val="both"/>
        <w:rPr/>
      </w:pPr>
      <w:r>
        <w:rPr/>
        <w:t>Szkolenie miało na celu wzmocnienie umiejętności nauczycieli w zakresie reagowania na trudne sytuacje wychowawcze, wspierania uczniów w kryzysach emocjonalnych oraz budowania pozytywnych relacji w środowisku szkolnym. Program znajduje się na liście rekomendowanych inicjatyw edukacyjnych. W szkoleniu wzięło udział dziesięcioro nauczycieli ze Szkoły Podstawowej nr 5 w Luboniu.</w:t>
      </w:r>
    </w:p>
    <w:p>
      <w:pPr>
        <w:pStyle w:val="NormalWeb"/>
        <w:spacing w:lineRule="auto" w:line="276" w:before="280" w:after="280"/>
        <w:ind w:left="708" w:hanging="0"/>
        <w:jc w:val="both"/>
        <w:rPr/>
      </w:pPr>
      <w:r>
        <w:rPr>
          <w:rStyle w:val="Strong"/>
        </w:rPr>
        <w:t>Obecność higienistki szkolnej w Szkole Podstawowej nr 5 w Luboniu</w:t>
      </w:r>
    </w:p>
    <w:p>
      <w:pPr>
        <w:pStyle w:val="NormalWeb"/>
        <w:spacing w:lineRule="auto" w:line="276" w:before="280" w:after="280"/>
        <w:ind w:left="708" w:hanging="0"/>
        <w:jc w:val="both"/>
        <w:rPr/>
      </w:pPr>
      <w:r>
        <w:rPr/>
        <w:t xml:space="preserve">Radna Elżbieta Zapłata-Szwedziak zapytała o obecność higienistki w szkole oraz zasady organizacji opieki medycznej. Pani Dyrektor poinformowała, że szkoła dzieli higienistkę ze Szkołą Podstawową nr 1. W Szkole Podstawowej nr 1 przy </w:t>
        <w:br/>
        <w:t>ul. Poniatowskiego i Szkole Podstawowej nr 5 przy ul. Kołłątaja higienistka obecna jest codziennie od poniedziałku do czwartku, w godzinach porannych – zazwyczaj do godz. 11:00, po czym przechodzi do drugiej szkoły. W piątki nie jest obecna w SP5 w ogóle.</w:t>
      </w:r>
    </w:p>
    <w:p>
      <w:pPr>
        <w:pStyle w:val="NormalWeb"/>
        <w:spacing w:lineRule="auto" w:line="276" w:before="280" w:after="280"/>
        <w:ind w:left="708" w:hanging="0"/>
        <w:jc w:val="both"/>
        <w:rPr/>
      </w:pPr>
      <w:r>
        <w:rPr/>
        <w:t xml:space="preserve">Zwrócono uwagę, że potrzeby są większe – szkoła chciałaby, aby higienistka była obecna codziennie w pełnym wymiarze godzin. Jak zaznaczyła Pani Dyrektor, </w:t>
        <w:br/>
        <w:t>jej nieobecność szczególnie doskwiera w sytuacjach nagłych, gdy uczniowie wymagają pomocy zdrowotnej, a szkoła musi kontaktować się z rodzicami.</w:t>
      </w:r>
    </w:p>
    <w:p>
      <w:pPr>
        <w:pStyle w:val="NormalWeb"/>
        <w:spacing w:lineRule="auto" w:line="276" w:before="280" w:after="280"/>
        <w:ind w:left="708" w:hanging="0"/>
        <w:jc w:val="both"/>
        <w:rPr/>
      </w:pPr>
      <w:r>
        <w:rPr/>
        <w:t>Podkreślono, że ograniczona liczba godzin pracy higienistki wynika z obowiązujących przepisów oraz zasad finansowania opieki zdrowotnej w szkołach przez Narodowy Fundusz Zdrowia. W przeszłości możliwe było zatrudnianie pielęgniarek szkolnych bezpośrednio przez szkoły, obecnie jednak taka forma organizacyjna nie funkcjonuje.</w:t>
      </w:r>
    </w:p>
    <w:p>
      <w:pPr>
        <w:pStyle w:val="Standard"/>
        <w:tabs>
          <w:tab w:val="clear" w:pos="708"/>
          <w:tab w:val="left" w:pos="3969" w:leader="none"/>
        </w:tabs>
        <w:spacing w:lineRule="auto" w:line="276"/>
        <w:ind w:left="360" w:hanging="0"/>
        <w:jc w:val="both"/>
        <w:rPr>
          <w:rFonts w:eastAsia="Times New Roman" w:cs="Times New Roman"/>
          <w:b/>
          <w:u w:val="single"/>
          <w:lang w:val="pl-PL" w:eastAsia="pl-PL"/>
        </w:rPr>
      </w:pPr>
      <w:r>
        <w:rPr>
          <w:rFonts w:cs="Times New Roman"/>
          <w:b/>
          <w:u w:val="single"/>
          <w:lang w:val="pl-PL"/>
        </w:rPr>
        <w:t>3.)</w:t>
      </w:r>
      <w:r>
        <w:rPr>
          <w:rFonts w:eastAsia="Times New Roman" w:cs="Times New Roman"/>
          <w:b/>
          <w:bCs/>
          <w:u w:val="single"/>
          <w:lang w:val="pl-PL" w:eastAsia="pl-PL"/>
        </w:rPr>
        <w:t xml:space="preserve"> Głosowanie nad przyjęciem protokołów z poprzednich posiedzeń Komisji</w:t>
      </w:r>
    </w:p>
    <w:p>
      <w:pPr>
        <w:pStyle w:val="Normal"/>
        <w:spacing w:lineRule="auto" w:line="276" w:beforeAutospacing="1" w:afterAutospacing="1"/>
        <w:ind w:left="708" w:hanging="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Komisja Budżetu i Finansów głosowała przyjęcie dwóch protokołów z poprzednich posiedzeń:</w:t>
      </w:r>
    </w:p>
    <w:p>
      <w:pPr>
        <w:pStyle w:val="Normal"/>
        <w:numPr>
          <w:ilvl w:val="0"/>
          <w:numId w:val="1"/>
        </w:numPr>
        <w:tabs>
          <w:tab w:val="clear" w:pos="708"/>
          <w:tab w:val="left" w:pos="1428" w:leader="none"/>
        </w:tabs>
        <w:spacing w:lineRule="auto" w:line="276" w:beforeAutospacing="1" w:after="0"/>
        <w:ind w:left="1428"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Protokół nr 11 z dnia 12 marca 2025 r.</w:t>
      </w:r>
      <w:r>
        <w:rPr>
          <w:rFonts w:eastAsia="Times New Roman" w:cs="Times New Roman" w:ascii="Times New Roman" w:hAnsi="Times New Roman"/>
          <w:sz w:val="24"/>
          <w:szCs w:val="24"/>
          <w:lang w:eastAsia="pl-PL"/>
        </w:rPr>
        <w:t xml:space="preserve"> – </w:t>
      </w:r>
      <w:r>
        <w:rPr>
          <w:rFonts w:eastAsia="Times New Roman" w:cs="Times New Roman" w:ascii="Times New Roman" w:hAnsi="Times New Roman"/>
          <w:b/>
          <w:bCs/>
          <w:sz w:val="24"/>
          <w:szCs w:val="24"/>
          <w:lang w:eastAsia="pl-PL"/>
        </w:rPr>
        <w:t xml:space="preserve">10 głosów za </w:t>
      </w:r>
      <w:r>
        <w:rPr>
          <w:rFonts w:eastAsia="Times New Roman" w:cs="Times New Roman" w:ascii="Times New Roman" w:hAnsi="Times New Roman"/>
          <w:sz w:val="24"/>
          <w:szCs w:val="24"/>
          <w:lang w:eastAsia="pl-PL"/>
        </w:rPr>
        <w:t xml:space="preserve">(Konrad Dominiak, Katarzyna Ekwińska, Hieronim Gawelski, Piotr Łukasz Izydorski, Jakub Przemysław Jelinski, Karolina Monika Wilczyńska-Kąkol, Teresa Zygmanowska, Maciej Różański, Elżbieta Zapłata-Szwedziak, Monika Nawrot), </w:t>
      </w:r>
      <w:r>
        <w:rPr>
          <w:rFonts w:eastAsia="Times New Roman" w:cs="Times New Roman" w:ascii="Times New Roman" w:hAnsi="Times New Roman"/>
          <w:b/>
          <w:sz w:val="24"/>
          <w:szCs w:val="24"/>
          <w:lang w:eastAsia="pl-PL"/>
        </w:rPr>
        <w:t>protokół przyjęto jednomyślnie,</w:t>
      </w:r>
    </w:p>
    <w:p>
      <w:pPr>
        <w:pStyle w:val="Normal"/>
        <w:numPr>
          <w:ilvl w:val="0"/>
          <w:numId w:val="1"/>
        </w:numPr>
        <w:tabs>
          <w:tab w:val="clear" w:pos="708"/>
          <w:tab w:val="left" w:pos="1428" w:leader="none"/>
        </w:tabs>
        <w:spacing w:lineRule="auto" w:line="276" w:before="0" w:afterAutospacing="1"/>
        <w:ind w:left="1428"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Protokół nr 12 z dnia 9 kwietnia 2025 r.</w:t>
      </w:r>
      <w:r>
        <w:rPr>
          <w:rFonts w:eastAsia="Times New Roman" w:cs="Times New Roman" w:ascii="Times New Roman" w:hAnsi="Times New Roman"/>
          <w:sz w:val="24"/>
          <w:szCs w:val="24"/>
          <w:lang w:eastAsia="pl-PL"/>
        </w:rPr>
        <w:t xml:space="preserve"> – </w:t>
      </w:r>
      <w:r>
        <w:rPr>
          <w:rFonts w:eastAsia="Times New Roman" w:cs="Times New Roman" w:ascii="Times New Roman" w:hAnsi="Times New Roman"/>
          <w:b/>
          <w:bCs/>
          <w:sz w:val="24"/>
          <w:szCs w:val="24"/>
          <w:lang w:eastAsia="pl-PL"/>
        </w:rPr>
        <w:t>10 głosów za</w:t>
      </w:r>
      <w:r>
        <w:rPr>
          <w:rFonts w:eastAsia="Times New Roman" w:cs="Times New Roman" w:ascii="Times New Roman" w:hAnsi="Times New Roman"/>
          <w:sz w:val="24"/>
          <w:szCs w:val="24"/>
          <w:lang w:eastAsia="pl-PL"/>
        </w:rPr>
        <w:t xml:space="preserve">, (Konrad Dominiak, Katarzyna Ekwińska, Hieronim Gawelski, Piotr Łukasz Izydorski, Jakub Przemysław Jelinski, Karolina Monika Wilczyńska-Kąkol, Teresa Zygmanowska, Maciej Różański, Elżbieta Zapłata-Szwedziak, Monika Nawrot), </w:t>
      </w:r>
      <w:r>
        <w:rPr>
          <w:rFonts w:eastAsia="Times New Roman" w:cs="Times New Roman" w:ascii="Times New Roman" w:hAnsi="Times New Roman"/>
          <w:b/>
          <w:sz w:val="24"/>
          <w:szCs w:val="24"/>
          <w:lang w:eastAsia="pl-PL"/>
        </w:rPr>
        <w:t>protokół przyjęto jednomyślnie</w:t>
      </w:r>
      <w:r>
        <w:rPr>
          <w:rFonts w:eastAsia="Times New Roman" w:cs="Times New Roman" w:ascii="Times New Roman" w:hAnsi="Times New Roman"/>
          <w:sz w:val="24"/>
          <w:szCs w:val="24"/>
          <w:lang w:eastAsia="pl-PL"/>
        </w:rPr>
        <w:t>.</w:t>
      </w:r>
    </w:p>
    <w:p>
      <w:pPr>
        <w:pStyle w:val="Standard"/>
        <w:tabs>
          <w:tab w:val="clear" w:pos="708"/>
          <w:tab w:val="left" w:pos="3969" w:leader="none"/>
        </w:tabs>
        <w:spacing w:lineRule="auto" w:line="276"/>
        <w:ind w:left="360" w:hanging="0"/>
        <w:jc w:val="both"/>
        <w:rPr>
          <w:rFonts w:cs="Times New Roman"/>
          <w:b/>
          <w:u w:val="single"/>
          <w:lang w:val="pl-PL"/>
        </w:rPr>
      </w:pPr>
      <w:r>
        <w:rPr>
          <w:rFonts w:cs="Times New Roman"/>
          <w:b/>
          <w:u w:val="single"/>
          <w:lang w:val="pl-PL"/>
        </w:rPr>
      </w:r>
    </w:p>
    <w:p>
      <w:pPr>
        <w:pStyle w:val="Standard"/>
        <w:tabs>
          <w:tab w:val="clear" w:pos="708"/>
          <w:tab w:val="left" w:pos="3969" w:leader="none"/>
        </w:tabs>
        <w:spacing w:lineRule="auto" w:line="276"/>
        <w:ind w:left="360" w:hanging="0"/>
        <w:jc w:val="both"/>
        <w:rPr>
          <w:rFonts w:eastAsia="Times New Roman" w:cs="Times New Roman"/>
          <w:b/>
          <w:bCs/>
          <w:u w:val="single"/>
          <w:lang w:val="pl-PL" w:eastAsia="pl-PL"/>
        </w:rPr>
      </w:pPr>
      <w:r>
        <w:rPr>
          <w:rFonts w:cs="Times New Roman"/>
          <w:b/>
          <w:u w:val="single"/>
          <w:lang w:val="pl-PL"/>
        </w:rPr>
        <w:t>4.)</w:t>
      </w:r>
      <w:r>
        <w:rPr>
          <w:rFonts w:eastAsia="Times New Roman" w:cs="Times New Roman"/>
          <w:b/>
          <w:bCs/>
          <w:u w:val="single"/>
          <w:lang w:val="pl-PL" w:eastAsia="pl-PL"/>
        </w:rPr>
        <w:t xml:space="preserve"> Wolne głosy i wnioski</w:t>
      </w:r>
    </w:p>
    <w:p>
      <w:pPr>
        <w:pStyle w:val="Standard"/>
        <w:tabs>
          <w:tab w:val="clear" w:pos="708"/>
          <w:tab w:val="left" w:pos="3969" w:leader="none"/>
        </w:tabs>
        <w:spacing w:lineRule="auto" w:line="276"/>
        <w:ind w:left="360" w:hanging="0"/>
        <w:jc w:val="both"/>
        <w:rPr>
          <w:rFonts w:eastAsia="Times New Roman" w:cs="Times New Roman"/>
          <w:b/>
          <w:bCs/>
          <w:u w:val="single"/>
          <w:lang w:val="pl-PL" w:eastAsia="pl-PL"/>
        </w:rPr>
      </w:pPr>
      <w:r>
        <w:rPr>
          <w:rFonts w:eastAsia="Times New Roman" w:cs="Times New Roman"/>
          <w:b/>
          <w:bCs/>
          <w:u w:val="single"/>
          <w:lang w:val="pl-PL" w:eastAsia="pl-PL"/>
        </w:rPr>
      </w:r>
    </w:p>
    <w:p>
      <w:pPr>
        <w:pStyle w:val="Standard"/>
        <w:tabs>
          <w:tab w:val="clear" w:pos="708"/>
          <w:tab w:val="left" w:pos="3969" w:leader="none"/>
        </w:tabs>
        <w:spacing w:lineRule="auto" w:line="276"/>
        <w:ind w:left="360" w:hanging="0"/>
        <w:jc w:val="both"/>
        <w:rPr>
          <w:rFonts w:eastAsia="Times New Roman" w:cs="Times New Roman"/>
          <w:b/>
          <w:bCs/>
          <w:u w:val="single"/>
          <w:lang w:val="pl-PL" w:eastAsia="pl-PL"/>
        </w:rPr>
      </w:pPr>
      <w:r>
        <w:rPr>
          <w:rFonts w:eastAsia="Times New Roman" w:cs="Times New Roman"/>
          <w:b/>
          <w:bCs/>
          <w:u w:val="single"/>
          <w:lang w:val="pl-PL" w:eastAsia="pl-PL"/>
        </w:rPr>
      </w:r>
    </w:p>
    <w:p>
      <w:pPr>
        <w:pStyle w:val="Standard"/>
        <w:tabs>
          <w:tab w:val="clear" w:pos="708"/>
          <w:tab w:val="left" w:pos="3969" w:leader="none"/>
        </w:tabs>
        <w:spacing w:lineRule="auto" w:line="276"/>
        <w:ind w:left="360" w:hanging="0"/>
        <w:jc w:val="both"/>
        <w:rPr>
          <w:rFonts w:eastAsia="Times New Roman" w:cs="Times New Roman"/>
          <w:b/>
          <w:bCs/>
          <w:u w:val="single"/>
          <w:lang w:val="pl-PL" w:eastAsia="pl-PL"/>
        </w:rPr>
      </w:pPr>
      <w:r>
        <w:rPr>
          <w:rFonts w:eastAsia="Times New Roman" w:cs="Times New Roman"/>
          <w:b/>
          <w:bCs/>
          <w:u w:val="single"/>
          <w:lang w:val="pl-PL" w:eastAsia="pl-PL"/>
        </w:rPr>
        <w:t>5.) Zakończenie posiedzenia</w:t>
      </w:r>
    </w:p>
    <w:p>
      <w:pPr>
        <w:pStyle w:val="Standard"/>
        <w:tabs>
          <w:tab w:val="clear" w:pos="708"/>
          <w:tab w:val="left" w:pos="3969" w:leader="none"/>
        </w:tabs>
        <w:spacing w:lineRule="auto" w:line="276"/>
        <w:ind w:left="360" w:hanging="0"/>
        <w:jc w:val="both"/>
        <w:rPr>
          <w:rFonts w:eastAsia="Times New Roman" w:cs="Times New Roman"/>
          <w:b/>
          <w:u w:val="single"/>
          <w:lang w:val="pl-PL" w:eastAsia="pl-PL"/>
        </w:rPr>
      </w:pPr>
      <w:r>
        <w:rPr>
          <w:rFonts w:cs="Times New Roman"/>
          <w:lang w:val="pl-PL"/>
        </w:rPr>
        <w:t xml:space="preserve">     </w:t>
      </w:r>
      <w:r>
        <w:rPr>
          <w:rFonts w:cs="Times New Roman"/>
          <w:lang w:val="pl-PL"/>
        </w:rPr>
        <w:t>Komisja zakończyła swoją pracę o godzinie 16:00</w:t>
      </w:r>
    </w:p>
    <w:p>
      <w:pPr>
        <w:pStyle w:val="Standard"/>
        <w:spacing w:lineRule="auto" w:line="276"/>
        <w:ind w:left="720" w:hanging="0"/>
        <w:jc w:val="both"/>
        <w:rPr>
          <w:rFonts w:cs="Times New Roman"/>
          <w:lang w:val="pl-PL"/>
        </w:rPr>
      </w:pPr>
      <w:r>
        <w:rPr>
          <w:rFonts w:cs="Times New Roman"/>
          <w:lang w:val="pl-PL"/>
        </w:rPr>
      </w:r>
    </w:p>
    <w:p>
      <w:pPr>
        <w:pStyle w:val="Standard"/>
        <w:spacing w:lineRule="auto" w:line="276"/>
        <w:ind w:left="720" w:hanging="0"/>
        <w:jc w:val="both"/>
        <w:rPr>
          <w:rFonts w:cs="Times New Roman"/>
          <w:lang w:val="pl-PL"/>
        </w:rPr>
      </w:pPr>
      <w:r>
        <w:rPr>
          <w:rFonts w:cs="Times New Roman"/>
          <w:lang w:val="pl-PL"/>
        </w:rPr>
      </w:r>
    </w:p>
    <w:p>
      <w:pPr>
        <w:pStyle w:val="Standard"/>
        <w:spacing w:lineRule="auto" w:line="276"/>
        <w:ind w:left="720" w:hanging="0"/>
        <w:jc w:val="both"/>
        <w:rPr>
          <w:rFonts w:cs="Times New Roman"/>
          <w:lang w:val="pl-PL"/>
        </w:rPr>
      </w:pPr>
      <w:r>
        <w:rPr>
          <w:rFonts w:cs="Times New Roman"/>
          <w:lang w:val="pl-PL"/>
        </w:rPr>
      </w:r>
    </w:p>
    <w:p>
      <w:pPr>
        <w:pStyle w:val="Standard"/>
        <w:spacing w:lineRule="auto" w:line="276"/>
        <w:ind w:left="720" w:hanging="0"/>
        <w:jc w:val="both"/>
        <w:rPr>
          <w:rFonts w:cs="Times New Roman"/>
          <w:lang w:val="pl-PL"/>
        </w:rPr>
      </w:pPr>
      <w:r>
        <w:rPr>
          <w:rFonts w:cs="Times New Roman"/>
          <w:lang w:val="pl-PL"/>
        </w:rPr>
      </w:r>
    </w:p>
    <w:p>
      <w:pPr>
        <w:pStyle w:val="Standard"/>
        <w:spacing w:lineRule="auto" w:line="276"/>
        <w:ind w:left="720" w:hanging="0"/>
        <w:jc w:val="both"/>
        <w:rPr>
          <w:rFonts w:cs="Times New Roman"/>
          <w:lang w:val="pl-PL"/>
        </w:rPr>
      </w:pPr>
      <w:r>
        <w:rPr>
          <w:rFonts w:cs="Times New Roman"/>
          <w:lang w:val="pl-PL"/>
        </w:rPr>
      </w:r>
      <w:bookmarkStart w:id="0" w:name="_GoBack"/>
      <w:bookmarkStart w:id="1" w:name="_GoBack"/>
      <w:bookmarkEnd w:id="1"/>
    </w:p>
    <w:p>
      <w:pPr>
        <w:pStyle w:val="Standard"/>
        <w:spacing w:lineRule="auto" w:line="276"/>
        <w:ind w:left="720" w:hanging="0"/>
        <w:jc w:val="both"/>
        <w:rPr>
          <w:rFonts w:cs="Times New Roman"/>
          <w:lang w:val="pl-PL"/>
        </w:rPr>
      </w:pPr>
      <w:r>
        <w:rPr>
          <w:rFonts w:cs="Times New Roman"/>
          <w:lang w:val="pl-PL"/>
        </w:rPr>
      </w:r>
    </w:p>
    <w:p>
      <w:pPr>
        <w:pStyle w:val="Standard"/>
        <w:spacing w:lineRule="auto" w:line="276"/>
        <w:ind w:left="720" w:hanging="0"/>
        <w:jc w:val="both"/>
        <w:rPr>
          <w:rFonts w:cs="Times New Roman"/>
          <w:lang w:val="pl-PL"/>
        </w:rPr>
      </w:pPr>
      <w:r>
        <w:rPr>
          <w:rFonts w:cs="Times New Roman"/>
          <w:lang w:val="pl-PL"/>
        </w:rPr>
        <w:t xml:space="preserve">Sekretarz Komisji </w:t>
        <w:tab/>
        <w:tab/>
        <w:tab/>
        <w:tab/>
        <w:tab/>
        <w:tab/>
        <w:t>Przewodnicząca Komisji</w:t>
      </w:r>
    </w:p>
    <w:p>
      <w:pPr>
        <w:pStyle w:val="Standard"/>
        <w:spacing w:lineRule="auto" w:line="276"/>
        <w:ind w:left="720" w:hanging="0"/>
        <w:jc w:val="both"/>
        <w:rPr>
          <w:rFonts w:ascii="TimesNewRomanPSMT" w:hAnsi="TimesNewRomanPSMT"/>
          <w:bCs/>
          <w:color w:val="000000"/>
          <w:sz w:val="22"/>
          <w:szCs w:val="22"/>
          <w:lang w:val="pl-PL"/>
        </w:rPr>
      </w:pPr>
      <w:r>
        <w:rPr>
          <w:rFonts w:cs="Times New Roman"/>
          <w:lang w:val="pl-PL"/>
        </w:rPr>
        <w:t xml:space="preserve">Maciej Różański </w:t>
        <w:tab/>
        <w:tab/>
        <w:tab/>
        <w:tab/>
        <w:tab/>
        <w:tab/>
        <w:t>Katarzyna Ekwińska</w:t>
        <w:tab/>
      </w:r>
    </w:p>
    <w:p>
      <w:pPr>
        <w:pStyle w:val="ListParagraph"/>
        <w:tabs>
          <w:tab w:val="clear" w:pos="708"/>
          <w:tab w:val="left" w:pos="3969"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60"/>
        <w:jc w:val="both"/>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 w:name="TimesNewRomanPSMT">
    <w:charset w:val="ee"/>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decimal"/>
      <w:lvlText w:val="%1."/>
      <w:lvlJc w:val="left"/>
      <w:pPr>
        <w:tabs>
          <w:tab w:val="num" w:pos="0"/>
        </w:tabs>
        <w:ind w:left="1211" w:hanging="360"/>
      </w:pPr>
      <w:rPr/>
    </w:lvl>
    <w:lvl w:ilvl="1">
      <w:start w:val="1"/>
      <w:numFmt w:val="decimal"/>
      <w:lvlText w:val="%2."/>
      <w:lvlJc w:val="left"/>
      <w:pPr>
        <w:tabs>
          <w:tab w:val="num" w:pos="0"/>
        </w:tabs>
        <w:ind w:left="1428" w:hanging="360"/>
      </w:pPr>
      <w:rPr>
        <w:b/>
      </w:rPr>
    </w:lvl>
    <w:lvl w:ilvl="2">
      <w:start w:val="1"/>
      <w:numFmt w:val="decimal"/>
      <w:lvlText w:val="%3."/>
      <w:lvlJc w:val="left"/>
      <w:pPr>
        <w:tabs>
          <w:tab w:val="num" w:pos="0"/>
        </w:tabs>
        <w:ind w:left="1788" w:hanging="360"/>
      </w:pPr>
      <w:rPr/>
    </w:lvl>
    <w:lvl w:ilvl="3">
      <w:start w:val="1"/>
      <w:numFmt w:val="decimal"/>
      <w:lvlText w:val="%4."/>
      <w:lvlJc w:val="left"/>
      <w:pPr>
        <w:tabs>
          <w:tab w:val="num" w:pos="0"/>
        </w:tabs>
        <w:ind w:left="2148" w:hanging="360"/>
      </w:pPr>
      <w:rPr/>
    </w:lvl>
    <w:lvl w:ilvl="4">
      <w:start w:val="1"/>
      <w:numFmt w:val="decimal"/>
      <w:lvlText w:val="%5."/>
      <w:lvlJc w:val="left"/>
      <w:pPr>
        <w:tabs>
          <w:tab w:val="num" w:pos="0"/>
        </w:tabs>
        <w:ind w:left="2508" w:hanging="360"/>
      </w:pPr>
      <w:rPr/>
    </w:lvl>
    <w:lvl w:ilvl="5">
      <w:start w:val="1"/>
      <w:numFmt w:val="decimal"/>
      <w:lvlText w:val="%6."/>
      <w:lvlJc w:val="left"/>
      <w:pPr>
        <w:tabs>
          <w:tab w:val="num" w:pos="0"/>
        </w:tabs>
        <w:ind w:left="2868" w:hanging="360"/>
      </w:pPr>
      <w:rPr/>
    </w:lvl>
    <w:lvl w:ilvl="6">
      <w:start w:val="1"/>
      <w:numFmt w:val="decimal"/>
      <w:lvlText w:val="%7."/>
      <w:lvlJc w:val="left"/>
      <w:pPr>
        <w:tabs>
          <w:tab w:val="num" w:pos="0"/>
        </w:tabs>
        <w:ind w:left="3228" w:hanging="360"/>
      </w:pPr>
      <w:rPr/>
    </w:lvl>
    <w:lvl w:ilvl="7">
      <w:start w:val="1"/>
      <w:numFmt w:val="decimal"/>
      <w:lvlText w:val="%8."/>
      <w:lvlJc w:val="left"/>
      <w:pPr>
        <w:tabs>
          <w:tab w:val="num" w:pos="0"/>
        </w:tabs>
        <w:ind w:left="3588" w:hanging="360"/>
      </w:pPr>
      <w:rPr/>
    </w:lvl>
    <w:lvl w:ilvl="8">
      <w:start w:val="1"/>
      <w:numFmt w:val="decimal"/>
      <w:lvlText w:val="%9."/>
      <w:lvlJc w:val="left"/>
      <w:pPr>
        <w:tabs>
          <w:tab w:val="num" w:pos="0"/>
        </w:tabs>
        <w:ind w:left="3948" w:hanging="36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070" w:hanging="360"/>
      </w:pPr>
      <w:rPr>
        <w:rFonts w:eastAsia="Times New Roman"/>
        <w:color w:val="auto"/>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5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a3367b"/>
    <w:rPr>
      <w:b/>
      <w:bCs/>
    </w:rPr>
  </w:style>
  <w:style w:type="character" w:styleId="Wyrnienie">
    <w:name w:val="Emphasis"/>
    <w:basedOn w:val="DefaultParagraphFont"/>
    <w:uiPriority w:val="20"/>
    <w:qFormat/>
    <w:rsid w:val="009f02da"/>
    <w:rPr>
      <w:i/>
      <w:iCs/>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ormalWeb">
    <w:name w:val="Normal (Web)"/>
    <w:basedOn w:val="Normal"/>
    <w:uiPriority w:val="99"/>
    <w:semiHidden/>
    <w:unhideWhenUsed/>
    <w:qFormat/>
    <w:rsid w:val="00a3367b"/>
    <w:pPr>
      <w:spacing w:lineRule="auto" w:line="240" w:beforeAutospacing="1" w:afterAutospacing="1"/>
    </w:pPr>
    <w:rPr>
      <w:rFonts w:ascii="Times New Roman" w:hAnsi="Times New Roman" w:eastAsia="Times New Roman" w:cs="Times New Roman"/>
      <w:sz w:val="24"/>
      <w:szCs w:val="24"/>
      <w:lang w:eastAsia="pl-PL"/>
    </w:rPr>
  </w:style>
  <w:style w:type="paragraph" w:styleId="ListParagraph">
    <w:name w:val="List Paragraph"/>
    <w:basedOn w:val="Normal"/>
    <w:uiPriority w:val="34"/>
    <w:qFormat/>
    <w:rsid w:val="00e25f72"/>
    <w:pPr>
      <w:spacing w:before="0" w:after="160"/>
      <w:ind w:left="720" w:hanging="0"/>
      <w:contextualSpacing/>
    </w:pPr>
    <w:rPr/>
  </w:style>
  <w:style w:type="paragraph" w:styleId="Standard" w:customStyle="1">
    <w:name w:val="Standard"/>
    <w:qFormat/>
    <w:rsid w:val="00e25f72"/>
    <w:pPr>
      <w:widowControl/>
      <w:suppressAutoHyphens w:val="true"/>
      <w:bidi w:val="0"/>
      <w:spacing w:lineRule="auto" w:line="240" w:before="0" w:after="0"/>
      <w:jc w:val="left"/>
    </w:pPr>
    <w:rPr>
      <w:rFonts w:ascii="Times New Roman" w:hAnsi="Times New Roman" w:eastAsia="Andale Sans UI" w:cs="Tahoma"/>
      <w:color w:val="auto"/>
      <w:kern w:val="2"/>
      <w:sz w:val="24"/>
      <w:szCs w:val="24"/>
      <w:lang w:val="de-DE" w:eastAsia="ja-JP" w:bidi="fa-IR"/>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Application>LibreOffice/7.5.4.2$Windows_X86_64 LibreOffice_project/36ccfdc35048b057fd9854c757a8b67ec53977b6</Application>
  <AppVersion>15.0000</AppVersion>
  <Pages>5</Pages>
  <Words>1901</Words>
  <Characters>12323</Characters>
  <CharactersWithSpaces>14171</CharactersWithSpaces>
  <Paragraphs>112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2025-06-09T05:39:00Z</dcterms:created>
  <dc:creator>Różański Maciej</dc:creator>
  <dc:description/>
  <dc:language>pl-PL</dc:language>
  <cp:lastModifiedBy>Różański Maciej</cp:lastModifiedBy>
  <dcterms:modified xsi:type="dcterms:W3CDTF">2025-06-09T07:22:00Z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