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tabs>
          <w:tab w:val="clear" w:pos="708"/>
          <w:tab w:val="left" w:pos="3969" w:leader="none"/>
        </w:tabs>
        <w:spacing w:lineRule="auto" w:line="276"/>
        <w:jc w:val="center"/>
        <w:rPr>
          <w:rFonts w:cs="Times New Roman"/>
          <w:b/>
          <w:bCs/>
          <w:sz w:val="28"/>
          <w:lang w:val="pl-PL"/>
        </w:rPr>
      </w:pPr>
      <w:bookmarkStart w:id="0" w:name="_GoBack"/>
      <w:bookmarkEnd w:id="0"/>
      <w:r>
        <w:rPr>
          <w:rFonts w:cs="Times New Roman"/>
          <w:b/>
          <w:bCs/>
          <w:sz w:val="28"/>
          <w:lang w:val="pl-PL"/>
        </w:rPr>
        <w:t>PROTOKÓŁ NR 13/2025</w:t>
      </w:r>
    </w:p>
    <w:p>
      <w:pPr>
        <w:pStyle w:val="Standard"/>
        <w:tabs>
          <w:tab w:val="clear" w:pos="708"/>
          <w:tab w:val="left" w:pos="3969" w:leader="none"/>
        </w:tabs>
        <w:spacing w:lineRule="auto" w:line="276"/>
        <w:jc w:val="center"/>
        <w:rPr>
          <w:rFonts w:cs="Times New Roman"/>
          <w:b/>
          <w:bCs/>
          <w:sz w:val="28"/>
          <w:lang w:val="pl-PL"/>
        </w:rPr>
      </w:pPr>
      <w:r>
        <w:rPr>
          <w:rFonts w:cs="Times New Roman"/>
          <w:b/>
          <w:bCs/>
          <w:sz w:val="28"/>
          <w:lang w:val="pl-PL"/>
        </w:rPr>
        <w:t>POSIEDZENIA KOMISJI BUDŻETU I FINANSÓW</w:t>
      </w:r>
    </w:p>
    <w:p>
      <w:pPr>
        <w:pStyle w:val="Standard"/>
        <w:tabs>
          <w:tab w:val="clear" w:pos="708"/>
          <w:tab w:val="left" w:pos="3969" w:leader="none"/>
        </w:tabs>
        <w:spacing w:lineRule="auto" w:line="276"/>
        <w:jc w:val="center"/>
        <w:rPr>
          <w:rFonts w:cs="Times New Roman"/>
          <w:b/>
          <w:bCs/>
          <w:sz w:val="28"/>
          <w:lang w:val="pl-PL"/>
        </w:rPr>
      </w:pPr>
      <w:r>
        <w:rPr>
          <w:rFonts w:cs="Times New Roman"/>
          <w:b/>
          <w:bCs/>
          <w:sz w:val="28"/>
          <w:lang w:val="pl-PL"/>
        </w:rPr>
        <w:t>Z DNIA 14.05.2025</w:t>
      </w:r>
    </w:p>
    <w:p>
      <w:pPr>
        <w:pStyle w:val="Normal"/>
        <w:tabs>
          <w:tab w:val="clear" w:pos="708"/>
          <w:tab w:val="left" w:pos="3969" w:leader="none"/>
        </w:tabs>
        <w:spacing w:lineRule="auto" w:line="276"/>
        <w:rPr>
          <w:rFonts w:ascii="Times New Roman" w:hAnsi="Times New Roman" w:cs="Times New Roman"/>
          <w:sz w:val="28"/>
          <w:szCs w:val="24"/>
        </w:rPr>
      </w:pPr>
      <w:r>
        <w:rPr>
          <w:rFonts w:cs="Times New Roman" w:ascii="Times New Roman" w:hAnsi="Times New Roman"/>
          <w:sz w:val="28"/>
          <w:szCs w:val="24"/>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jc w:val="both"/>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Dnia 14 maja 2025 o godzinie 18:00 w sali sesyjnej Rady Miasta Luboń odbyło się posiedzenie Komisji Budżetu i Finansów.</w:t>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Standard"/>
        <w:tabs>
          <w:tab w:val="clear" w:pos="708"/>
          <w:tab w:val="left" w:pos="3969" w:leader="none"/>
        </w:tabs>
        <w:spacing w:lineRule="auto" w:line="276"/>
        <w:jc w:val="both"/>
        <w:rPr>
          <w:rFonts w:cs="Times New Roman"/>
          <w:b/>
          <w:lang w:val="pl-PL"/>
        </w:rPr>
      </w:pPr>
      <w:r>
        <w:rPr>
          <w:rFonts w:cs="Times New Roman"/>
          <w:b/>
          <w:lang w:val="pl-PL"/>
        </w:rPr>
        <w:t>Porządek obrad:</w:t>
      </w:r>
    </w:p>
    <w:p>
      <w:pPr>
        <w:pStyle w:val="Standard"/>
        <w:numPr>
          <w:ilvl w:val="0"/>
          <w:numId w:val="6"/>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Otwarcie obrad komisji i stwierdzenie quorum.</w:t>
      </w:r>
    </w:p>
    <w:p>
      <w:pPr>
        <w:pStyle w:val="Standard"/>
        <w:numPr>
          <w:ilvl w:val="0"/>
          <w:numId w:val="6"/>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 xml:space="preserve">Opiniowanie projektu uchwały w sprawie zmiany uchwały budżetowej Miasta Luboń na 2025 rok </w:t>
      </w:r>
    </w:p>
    <w:p>
      <w:pPr>
        <w:pStyle w:val="Standard"/>
        <w:numPr>
          <w:ilvl w:val="0"/>
          <w:numId w:val="6"/>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Opiniowanie projektu uchwały w sprawie zmiany Wieloletniej Prognozy Finansowej Miasta Luboń na lata 2025–2044</w:t>
      </w:r>
    </w:p>
    <w:p>
      <w:pPr>
        <w:pStyle w:val="Normal"/>
        <w:numPr>
          <w:ilvl w:val="0"/>
          <w:numId w:val="6"/>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Ocena sprawozdania z wykonania budżetu, sprawozdania finansowego </w:t>
        <w:br/>
        <w:t>i informacji o stanie mienia komunalnego za 2024 r.</w:t>
      </w:r>
    </w:p>
    <w:p>
      <w:pPr>
        <w:pStyle w:val="ListParagraph"/>
        <w:numPr>
          <w:ilvl w:val="0"/>
          <w:numId w:val="6"/>
        </w:numPr>
        <w:tabs>
          <w:tab w:val="clear" w:pos="708"/>
          <w:tab w:val="left" w:pos="3969" w:leader="none"/>
        </w:tabs>
        <w:spacing w:lineRule="auto" w:line="276" w:before="0" w:after="0"/>
        <w:contextualSpacing/>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Głosowanie nad przyjęciem protokołu nr 10 z dnia 12 lutego 2025</w:t>
      </w:r>
    </w:p>
    <w:p>
      <w:pPr>
        <w:pStyle w:val="Standard"/>
        <w:numPr>
          <w:ilvl w:val="0"/>
          <w:numId w:val="6"/>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Wolne głosy i wnioski</w:t>
      </w:r>
    </w:p>
    <w:p>
      <w:pPr>
        <w:pStyle w:val="Standard"/>
        <w:numPr>
          <w:ilvl w:val="0"/>
          <w:numId w:val="6"/>
        </w:numPr>
        <w:tabs>
          <w:tab w:val="clear" w:pos="708"/>
          <w:tab w:val="left" w:pos="3969" w:leader="none"/>
        </w:tabs>
        <w:spacing w:lineRule="auto" w:line="276"/>
        <w:jc w:val="both"/>
        <w:rPr>
          <w:rFonts w:eastAsia="Times New Roman" w:cs="Times New Roman"/>
          <w:kern w:val="0"/>
          <w:lang w:val="pl-PL" w:eastAsia="pl-PL" w:bidi="ar-SA"/>
        </w:rPr>
      </w:pPr>
      <w:r>
        <w:rPr>
          <w:rFonts w:eastAsia="Times New Roman" w:cs="Times New Roman"/>
          <w:kern w:val="0"/>
          <w:lang w:val="pl-PL" w:eastAsia="pl-PL" w:bidi="ar-SA"/>
        </w:rPr>
        <w:t>Zakończenie posiedzenia</w:t>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Normal"/>
        <w:tabs>
          <w:tab w:val="clear" w:pos="708"/>
          <w:tab w:val="left" w:pos="3969" w:leader="none"/>
        </w:tabs>
        <w:spacing w:lineRule="auto" w:line="276"/>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r>
    </w:p>
    <w:p>
      <w:pPr>
        <w:pStyle w:val="Standard"/>
        <w:tabs>
          <w:tab w:val="clear" w:pos="708"/>
          <w:tab w:val="left" w:pos="3969" w:leader="none"/>
        </w:tabs>
        <w:spacing w:lineRule="auto" w:line="276"/>
        <w:rPr>
          <w:rFonts w:cs="Times New Roman"/>
          <w:b/>
          <w:bCs/>
          <w:u w:val="single"/>
          <w:lang w:val="pl-PL"/>
        </w:rPr>
      </w:pPr>
      <w:r>
        <w:rPr>
          <w:rFonts w:cs="Times New Roman"/>
          <w:b/>
          <w:bCs/>
          <w:u w:val="single"/>
          <w:lang w:val="pl-PL"/>
        </w:rPr>
        <w:t>Przebieg posiedzenia:</w:t>
      </w:r>
    </w:p>
    <w:p>
      <w:pPr>
        <w:pStyle w:val="Standard"/>
        <w:tabs>
          <w:tab w:val="clear" w:pos="708"/>
          <w:tab w:val="left" w:pos="3969" w:leader="none"/>
        </w:tabs>
        <w:spacing w:lineRule="auto" w:line="276"/>
        <w:jc w:val="both"/>
        <w:rPr>
          <w:rFonts w:cs="Times New Roman"/>
          <w:lang w:val="pl-PL"/>
        </w:rPr>
      </w:pPr>
      <w:r>
        <w:rPr>
          <w:rFonts w:cs="Times New Roman"/>
          <w:lang w:val="pl-PL"/>
        </w:rPr>
      </w:r>
    </w:p>
    <w:p>
      <w:pPr>
        <w:pStyle w:val="Standard"/>
        <w:numPr>
          <w:ilvl w:val="0"/>
          <w:numId w:val="7"/>
        </w:numPr>
        <w:tabs>
          <w:tab w:val="clear" w:pos="708"/>
          <w:tab w:val="left" w:pos="3969" w:leader="none"/>
        </w:tabs>
        <w:spacing w:lineRule="auto" w:line="276"/>
        <w:jc w:val="both"/>
        <w:rPr>
          <w:rFonts w:cs="Times New Roman"/>
          <w:b/>
          <w:u w:val="single"/>
          <w:lang w:val="pl-PL"/>
        </w:rPr>
      </w:pPr>
      <w:r>
        <w:rPr>
          <w:rFonts w:cs="Times New Roman"/>
          <w:b/>
          <w:u w:val="single"/>
          <w:lang w:val="pl-PL"/>
        </w:rPr>
        <w:t>Otwarcie obrad komisji i stwierdzenie quorum.</w:t>
      </w:r>
    </w:p>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p>
      <w:pPr>
        <w:pStyle w:val="Standard"/>
        <w:tabs>
          <w:tab w:val="clear" w:pos="708"/>
          <w:tab w:val="left" w:pos="3969" w:leader="none"/>
        </w:tabs>
        <w:spacing w:lineRule="auto" w:line="276"/>
        <w:ind w:left="708" w:hanging="0"/>
        <w:jc w:val="both"/>
        <w:rPr>
          <w:rFonts w:cs="Times New Roman"/>
          <w:lang w:val="pl-PL"/>
        </w:rPr>
      </w:pPr>
      <w:r>
        <w:rPr>
          <w:rFonts w:cs="Times New Roman"/>
          <w:lang w:val="pl-PL"/>
        </w:rPr>
        <w:t>Obrady rozpoczęły się o godzinie 18:00 i prowadziła je Przewodnicząca Komisji Budżetu i Finansów Pani Katarzyna Ekwińska.</w:t>
      </w:r>
    </w:p>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Przeprowadzono sprawdzenie obecności.</w:t>
      </w:r>
    </w:p>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p>
      <w:pPr>
        <w:pStyle w:val="Standard"/>
        <w:tabs>
          <w:tab w:val="clear" w:pos="708"/>
          <w:tab w:val="left" w:pos="3969" w:leader="none"/>
        </w:tabs>
        <w:spacing w:lineRule="auto" w:line="276"/>
        <w:ind w:firstLine="708"/>
        <w:jc w:val="both"/>
        <w:rPr>
          <w:rFonts w:cs="Times New Roman"/>
          <w:b/>
          <w:lang w:val="pl-PL"/>
        </w:rPr>
      </w:pPr>
      <w:r>
        <w:rPr>
          <w:rFonts w:cs="Times New Roman"/>
          <w:b/>
          <w:lang w:val="pl-PL"/>
        </w:rPr>
        <w:t>Komisja Budżetu i Finansów</w:t>
      </w:r>
    </w:p>
    <w:p>
      <w:pPr>
        <w:pStyle w:val="Standard"/>
        <w:tabs>
          <w:tab w:val="clear" w:pos="708"/>
          <w:tab w:val="left" w:pos="3969" w:leader="none"/>
        </w:tabs>
        <w:spacing w:lineRule="auto" w:line="276"/>
        <w:ind w:left="708" w:hanging="0"/>
        <w:jc w:val="both"/>
        <w:rPr>
          <w:rFonts w:cs="Times New Roman"/>
          <w:lang w:val="pl-PL"/>
        </w:rPr>
      </w:pPr>
      <w:r>
        <w:rPr>
          <w:rFonts w:cs="Times New Roman"/>
          <w:lang w:val="pl-PL"/>
        </w:rPr>
        <w:t xml:space="preserve">Obecnych było 10 członków komisji </w:t>
      </w:r>
    </w:p>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tbl>
      <w:tblPr>
        <w:tblW w:w="8079" w:type="dxa"/>
        <w:jc w:val="left"/>
        <w:tblInd w:w="705" w:type="dxa"/>
        <w:tblLayout w:type="fixed"/>
        <w:tblCellMar>
          <w:top w:w="0" w:type="dxa"/>
          <w:left w:w="70" w:type="dxa"/>
          <w:bottom w:w="0" w:type="dxa"/>
          <w:right w:w="70" w:type="dxa"/>
        </w:tblCellMar>
        <w:tblLook w:firstRow="1" w:noVBand="1" w:lastRow="0" w:firstColumn="1" w:lastColumn="0" w:noHBand="0" w:val="04a0"/>
      </w:tblPr>
      <w:tblGrid>
        <w:gridCol w:w="446"/>
        <w:gridCol w:w="3663"/>
        <w:gridCol w:w="2269"/>
        <w:gridCol w:w="1700"/>
      </w:tblGrid>
      <w:tr>
        <w:trPr>
          <w:trHeight w:val="300" w:hRule="atLeast"/>
        </w:trPr>
        <w:tc>
          <w:tcPr>
            <w:tcW w:w="8078" w:type="dxa"/>
            <w:gridSpan w:val="4"/>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Lista Obecności</w:t>
            </w:r>
          </w:p>
        </w:tc>
      </w:tr>
      <w:tr>
        <w:trPr>
          <w:trHeight w:val="300" w:hRule="atLeast"/>
        </w:trPr>
        <w:tc>
          <w:tcPr>
            <w:tcW w:w="446"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l.p.</w:t>
            </w:r>
          </w:p>
        </w:tc>
        <w:tc>
          <w:tcPr>
            <w:tcW w:w="3663" w:type="dxa"/>
            <w:tcBorders>
              <w:top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imię i nazwisko</w:t>
            </w:r>
          </w:p>
        </w:tc>
        <w:tc>
          <w:tcPr>
            <w:tcW w:w="2269" w:type="dxa"/>
            <w:tcBorders>
              <w:top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stanowisko</w:t>
            </w:r>
          </w:p>
        </w:tc>
        <w:tc>
          <w:tcPr>
            <w:tcW w:w="1700" w:type="dxa"/>
            <w:tcBorders>
              <w:top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obecność</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Katarzyna Ekwińska</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2</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Monika Izabela Nawrot</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wiceprzewodnicząca</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3</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Maciej Różański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sekretarz</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4</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Karolina Monika Wilczyńska-Kąkol</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5</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Jakub Przemysław Jelinski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6</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Teresa Zygmanowska</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7</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Hieronim Gawelski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8</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Konrad Dominiak</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9</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Elżbieta Zapłata-Szwedziak</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obecna</w:t>
            </w:r>
          </w:p>
        </w:tc>
      </w:tr>
      <w:tr>
        <w:trPr>
          <w:trHeight w:val="300" w:hRule="atLeast"/>
        </w:trPr>
        <w:tc>
          <w:tcPr>
            <w:tcW w:w="446" w:type="dxa"/>
            <w:tcBorders>
              <w:left w:val="single" w:sz="4" w:space="0" w:color="000000"/>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jc w:val="right"/>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10</w:t>
            </w:r>
          </w:p>
        </w:tc>
        <w:tc>
          <w:tcPr>
            <w:tcW w:w="3663"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Piotr Łukasz Izydorski</w:t>
            </w:r>
          </w:p>
        </w:tc>
        <w:tc>
          <w:tcPr>
            <w:tcW w:w="2269"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członek komisji</w:t>
            </w:r>
          </w:p>
        </w:tc>
        <w:tc>
          <w:tcPr>
            <w:tcW w:w="1700" w:type="dxa"/>
            <w:tcBorders>
              <w:bottom w:val="single" w:sz="4" w:space="0" w:color="000000"/>
              <w:right w:val="single" w:sz="4" w:space="0" w:color="000000"/>
            </w:tcBorders>
            <w:shd w:color="auto" w:fill="auto" w:val="clear"/>
            <w:vAlign w:val="bottom"/>
          </w:tcPr>
          <w:p>
            <w:pPr>
              <w:pStyle w:val="Normal"/>
              <w:widowControl w:val="false"/>
              <w:tabs>
                <w:tab w:val="clear" w:pos="708"/>
                <w:tab w:val="left" w:pos="3969" w:leader="none"/>
              </w:tabs>
              <w:spacing w:lineRule="auto" w:line="276" w:before="0" w:after="0"/>
              <w:rPr>
                <w:rFonts w:ascii="Times New Roman" w:hAnsi="Times New Roman" w:eastAsia="Andale Sans UI" w:cs="Times New Roman"/>
                <w:kern w:val="2"/>
                <w:sz w:val="24"/>
                <w:szCs w:val="24"/>
                <w:lang w:eastAsia="ja-JP" w:bidi="fa-IR"/>
              </w:rPr>
            </w:pPr>
            <w:r>
              <w:rPr>
                <w:rFonts w:eastAsia="Andale Sans UI" w:cs="Times New Roman" w:ascii="Times New Roman" w:hAnsi="Times New Roman"/>
                <w:kern w:val="2"/>
                <w:sz w:val="24"/>
                <w:szCs w:val="24"/>
                <w:lang w:eastAsia="ja-JP" w:bidi="fa-IR"/>
              </w:rPr>
              <w:t>obecny</w:t>
            </w:r>
          </w:p>
        </w:tc>
      </w:tr>
    </w:tbl>
    <w:p>
      <w:pPr>
        <w:pStyle w:val="Standard"/>
        <w:tabs>
          <w:tab w:val="clear" w:pos="708"/>
          <w:tab w:val="left" w:pos="3969" w:leader="none"/>
        </w:tabs>
        <w:spacing w:lineRule="auto" w:line="276"/>
        <w:ind w:left="1080" w:hanging="0"/>
        <w:jc w:val="both"/>
        <w:rPr>
          <w:rFonts w:cs="Times New Roman"/>
          <w:lang w:val="pl-PL"/>
        </w:rPr>
      </w:pPr>
      <w:r>
        <w:rPr>
          <w:rFonts w:cs="Times New Roman"/>
          <w:lang w:val="pl-PL"/>
        </w:rPr>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Stwierdzono quorum.</w:t>
      </w:r>
    </w:p>
    <w:p>
      <w:pPr>
        <w:pStyle w:val="Standard"/>
        <w:tabs>
          <w:tab w:val="clear" w:pos="708"/>
          <w:tab w:val="left" w:pos="3969" w:leader="none"/>
        </w:tabs>
        <w:spacing w:lineRule="auto" w:line="276"/>
        <w:ind w:left="1065" w:hanging="0"/>
        <w:jc w:val="both"/>
        <w:rPr>
          <w:rFonts w:cs="Times New Roman"/>
          <w:lang w:val="pl-PL"/>
        </w:rPr>
      </w:pPr>
      <w:r>
        <w:rPr>
          <w:rFonts w:cs="Times New Roman"/>
          <w:lang w:val="pl-PL"/>
        </w:rPr>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W obradach gościnnie uczestniczyły następujące osoby:</w:t>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Burmistrz Małgorzata Machalska</w:t>
      </w:r>
    </w:p>
    <w:p>
      <w:pPr>
        <w:pStyle w:val="Standard"/>
        <w:tabs>
          <w:tab w:val="clear" w:pos="708"/>
          <w:tab w:val="left" w:pos="3969" w:leader="none"/>
        </w:tabs>
        <w:spacing w:lineRule="auto" w:line="276"/>
        <w:ind w:firstLine="708"/>
        <w:jc w:val="both"/>
        <w:rPr>
          <w:rFonts w:cs="Times New Roman"/>
          <w:lang w:val="pl-PL"/>
        </w:rPr>
      </w:pPr>
      <w:r>
        <w:rPr>
          <w:rFonts w:cs="Times New Roman"/>
          <w:lang w:val="pl-PL"/>
        </w:rPr>
        <w:t>Skarbnika Miasta Mirosław Stromczyński</w:t>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rPr>
          <w:rFonts w:ascii="Times New Roman" w:hAnsi="Times New Roman" w:cs="Times New Roman"/>
          <w:sz w:val="24"/>
          <w:szCs w:val="24"/>
          <w:lang w:eastAsia="pl-PL"/>
        </w:rPr>
      </w:pPr>
      <w:r>
        <w:rPr>
          <w:rFonts w:cs="Times New Roman" w:ascii="Times New Roman" w:hAnsi="Times New Roman"/>
          <w:sz w:val="24"/>
          <w:szCs w:val="24"/>
          <w:lang w:eastAsia="pl-PL"/>
        </w:rPr>
      </w:r>
    </w:p>
    <w:p>
      <w:pPr>
        <w:pStyle w:val="Normal"/>
        <w:tabs>
          <w:tab w:val="clear" w:pos="708"/>
          <w:tab w:val="left" w:pos="3969" w:leader="none"/>
        </w:tabs>
        <w:spacing w:lineRule="auto" w:line="276"/>
        <w:jc w:val="both"/>
        <w:rPr>
          <w:rFonts w:ascii="Times New Roman" w:hAnsi="Times New Roman" w:eastAsia="Times New Roman" w:cs="Times New Roman"/>
          <w:b/>
          <w:sz w:val="24"/>
          <w:szCs w:val="24"/>
          <w:u w:val="single"/>
          <w:lang w:eastAsia="pl-PL"/>
        </w:rPr>
      </w:pPr>
      <w:r>
        <w:rPr>
          <w:rFonts w:eastAsia="Times New Roman" w:cs="Times New Roman" w:ascii="Times New Roman" w:hAnsi="Times New Roman"/>
          <w:b/>
          <w:sz w:val="24"/>
          <w:szCs w:val="24"/>
          <w:u w:val="single"/>
          <w:lang w:eastAsia="pl-PL"/>
        </w:rPr>
        <w:t>1. Przedstawienie i omówienie projektu uchwały w sprawie zmian w budżecie Miasta Luboń na 2025 rok</w:t>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Skarbnik Miasta, Pan </w:t>
      </w:r>
      <w:r>
        <w:rPr>
          <w:rFonts w:eastAsia="Times New Roman" w:cs="Times New Roman" w:ascii="Times New Roman" w:hAnsi="Times New Roman"/>
          <w:b/>
          <w:bCs/>
          <w:sz w:val="24"/>
          <w:szCs w:val="24"/>
          <w:lang w:eastAsia="pl-PL"/>
        </w:rPr>
        <w:t>Mirosław Stromczyński</w:t>
      </w:r>
      <w:r>
        <w:rPr>
          <w:rFonts w:eastAsia="Times New Roman" w:cs="Times New Roman" w:ascii="Times New Roman" w:hAnsi="Times New Roman"/>
          <w:sz w:val="24"/>
          <w:szCs w:val="24"/>
          <w:lang w:eastAsia="pl-PL"/>
        </w:rPr>
        <w:t xml:space="preserve">, przedstawił szczegółowe uzasadnienie </w:t>
        <w:br/>
        <w:t>do projektu uchwały zmieniającej budżet Miasta Luboń na 2025 rok.</w:t>
      </w:r>
    </w:p>
    <w:p>
      <w:pPr>
        <w:pStyle w:val="NoSpacing"/>
        <w:tabs>
          <w:tab w:val="clear" w:pos="708"/>
          <w:tab w:val="left" w:pos="3969" w:leader="none"/>
        </w:tabs>
        <w:spacing w:lineRule="auto" w:line="276"/>
        <w:jc w:val="both"/>
        <w:rPr>
          <w:rFonts w:ascii="Times New Roman" w:hAnsi="Times New Roman" w:eastAsia="Times New Roman" w:cs="Times New Roman"/>
          <w:b/>
          <w:sz w:val="24"/>
          <w:szCs w:val="24"/>
          <w:lang w:eastAsia="pl-PL"/>
        </w:rPr>
      </w:pPr>
      <w:r>
        <w:rPr>
          <w:rFonts w:eastAsia="Times New Roman" w:cs="Times New Roman" w:ascii="Times New Roman" w:hAnsi="Times New Roman"/>
          <w:b/>
          <w:sz w:val="24"/>
          <w:szCs w:val="24"/>
          <w:lang w:eastAsia="pl-PL"/>
        </w:rPr>
        <w:t>Dochody</w:t>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pierwszej kolejności Skarbnik Miasta omówił zmiany po stronie </w:t>
      </w:r>
      <w:r>
        <w:rPr>
          <w:rFonts w:eastAsia="Times New Roman" w:cs="Times New Roman" w:ascii="Times New Roman" w:hAnsi="Times New Roman"/>
          <w:b/>
          <w:bCs/>
          <w:sz w:val="24"/>
          <w:szCs w:val="24"/>
          <w:lang w:eastAsia="pl-PL"/>
        </w:rPr>
        <w:t>dochodu budżetu</w:t>
      </w:r>
      <w:r>
        <w:rPr>
          <w:rFonts w:eastAsia="Times New Roman" w:cs="Times New Roman" w:ascii="Times New Roman" w:hAnsi="Times New Roman"/>
          <w:sz w:val="24"/>
          <w:szCs w:val="24"/>
          <w:lang w:eastAsia="pl-PL"/>
        </w:rPr>
        <w:t>:</w:t>
      </w:r>
    </w:p>
    <w:p>
      <w:pPr>
        <w:pStyle w:val="Normal"/>
        <w:numPr>
          <w:ilvl w:val="0"/>
          <w:numId w:val="1"/>
        </w:numPr>
        <w:tabs>
          <w:tab w:val="clear" w:pos="708"/>
          <w:tab w:val="left" w:pos="3969" w:leader="none"/>
        </w:tabs>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Fundusz Pomocy</w:t>
      </w:r>
      <w:r>
        <w:rPr>
          <w:rFonts w:eastAsia="Times New Roman" w:cs="Times New Roman" w:ascii="Times New Roman" w:hAnsi="Times New Roman"/>
          <w:sz w:val="24"/>
          <w:szCs w:val="24"/>
          <w:lang w:eastAsia="pl-PL"/>
        </w:rPr>
        <w:t xml:space="preserve"> – wprowadzono łącznie </w:t>
      </w:r>
      <w:r>
        <w:rPr>
          <w:rFonts w:eastAsia="Times New Roman" w:cs="Times New Roman" w:ascii="Times New Roman" w:hAnsi="Times New Roman"/>
          <w:b/>
          <w:bCs/>
          <w:sz w:val="24"/>
          <w:szCs w:val="24"/>
          <w:lang w:eastAsia="pl-PL"/>
        </w:rPr>
        <w:t>1.231.780,38 zł</w:t>
      </w:r>
      <w:r>
        <w:rPr>
          <w:rFonts w:eastAsia="Times New Roman" w:cs="Times New Roman" w:ascii="Times New Roman" w:hAnsi="Times New Roman"/>
          <w:sz w:val="24"/>
          <w:szCs w:val="24"/>
          <w:lang w:eastAsia="pl-PL"/>
        </w:rPr>
        <w:t>, w tym:</w:t>
      </w:r>
    </w:p>
    <w:p>
      <w:pPr>
        <w:pStyle w:val="Normal"/>
        <w:numPr>
          <w:ilvl w:val="1"/>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980.137 zł</w:t>
      </w:r>
      <w:r>
        <w:rPr>
          <w:rFonts w:eastAsia="Times New Roman" w:cs="Times New Roman" w:ascii="Times New Roman" w:hAnsi="Times New Roman"/>
          <w:sz w:val="24"/>
          <w:szCs w:val="24"/>
          <w:lang w:eastAsia="pl-PL"/>
        </w:rPr>
        <w:t xml:space="preserve"> – na zadania oświatowe, wychowawcze i opiekuńcze dla dzieci </w:t>
        <w:br/>
        <w:t>i uczniów będących obywatelami Ukrainy (rozdz. 80101),</w:t>
      </w:r>
    </w:p>
    <w:p>
      <w:pPr>
        <w:pStyle w:val="Normal"/>
        <w:numPr>
          <w:ilvl w:val="1"/>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251.643,38 zł</w:t>
      </w:r>
      <w:r>
        <w:rPr>
          <w:rFonts w:eastAsia="Times New Roman" w:cs="Times New Roman" w:ascii="Times New Roman" w:hAnsi="Times New Roman"/>
          <w:sz w:val="24"/>
          <w:szCs w:val="24"/>
          <w:lang w:eastAsia="pl-PL"/>
        </w:rPr>
        <w:t xml:space="preserve"> – na zadania zlecone z zakresu pomocy obywatelom Ukrainy (rozdz. 85415),</w:t>
      </w:r>
    </w:p>
    <w:p>
      <w:pPr>
        <w:pStyle w:val="Normal"/>
        <w:numPr>
          <w:ilvl w:val="1"/>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6,33 zł</w:t>
      </w:r>
      <w:r>
        <w:rPr>
          <w:rFonts w:eastAsia="Times New Roman" w:cs="Times New Roman" w:ascii="Times New Roman" w:hAnsi="Times New Roman"/>
          <w:sz w:val="24"/>
          <w:szCs w:val="24"/>
          <w:lang w:eastAsia="pl-PL"/>
        </w:rPr>
        <w:t xml:space="preserve"> – na funkcjonowanie Profilu Zaufanego i Rejestru Danych Kontaktowych (rozdz. 75011).</w:t>
      </w:r>
    </w:p>
    <w:p>
      <w:pPr>
        <w:pStyle w:val="Normal"/>
        <w:numPr>
          <w:ilvl w:val="0"/>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Program „Cyberbezpieczny Samorząd”</w:t>
      </w:r>
      <w:r>
        <w:rPr>
          <w:rFonts w:eastAsia="Times New Roman" w:cs="Times New Roman" w:ascii="Times New Roman" w:hAnsi="Times New Roman"/>
          <w:sz w:val="24"/>
          <w:szCs w:val="24"/>
          <w:lang w:eastAsia="pl-PL"/>
        </w:rPr>
        <w:t xml:space="preserve"> – wprowadzono środki w wysokości </w:t>
      </w:r>
      <w:r>
        <w:rPr>
          <w:rFonts w:eastAsia="Times New Roman" w:cs="Times New Roman" w:ascii="Times New Roman" w:hAnsi="Times New Roman"/>
          <w:b/>
          <w:bCs/>
          <w:sz w:val="24"/>
          <w:szCs w:val="24"/>
          <w:lang w:eastAsia="pl-PL"/>
        </w:rPr>
        <w:t>258.226,76 zł</w:t>
      </w:r>
      <w:r>
        <w:rPr>
          <w:rFonts w:eastAsia="Times New Roman" w:cs="Times New Roman" w:ascii="Times New Roman" w:hAnsi="Times New Roman"/>
          <w:sz w:val="24"/>
          <w:szCs w:val="24"/>
          <w:lang w:eastAsia="pl-PL"/>
        </w:rPr>
        <w:t xml:space="preserve"> (rozdz. 75023), w tym:</w:t>
      </w:r>
    </w:p>
    <w:p>
      <w:pPr>
        <w:pStyle w:val="Normal"/>
        <w:numPr>
          <w:ilvl w:val="1"/>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66.226,76 zł</w:t>
      </w:r>
      <w:r>
        <w:rPr>
          <w:rFonts w:eastAsia="Times New Roman" w:cs="Times New Roman" w:ascii="Times New Roman" w:hAnsi="Times New Roman"/>
          <w:sz w:val="24"/>
          <w:szCs w:val="24"/>
          <w:lang w:eastAsia="pl-PL"/>
        </w:rPr>
        <w:t xml:space="preserve"> – wydatki bieżące,</w:t>
      </w:r>
    </w:p>
    <w:p>
      <w:pPr>
        <w:pStyle w:val="Normal"/>
        <w:numPr>
          <w:ilvl w:val="1"/>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192.000 zł</w:t>
      </w:r>
      <w:r>
        <w:rPr>
          <w:rFonts w:eastAsia="Times New Roman" w:cs="Times New Roman" w:ascii="Times New Roman" w:hAnsi="Times New Roman"/>
          <w:sz w:val="24"/>
          <w:szCs w:val="24"/>
          <w:lang w:eastAsia="pl-PL"/>
        </w:rPr>
        <w:t xml:space="preserve"> – wydatki majątkowe (zakup sprzętu i oprogramowania IT).</w:t>
      </w:r>
    </w:p>
    <w:p>
      <w:pPr>
        <w:pStyle w:val="Normal"/>
        <w:numPr>
          <w:ilvl w:val="0"/>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Dochody własne szkół podstawowych (rozdz. 80101) – </w:t>
      </w:r>
      <w:r>
        <w:rPr>
          <w:rFonts w:eastAsia="Times New Roman" w:cs="Times New Roman" w:ascii="Times New Roman" w:hAnsi="Times New Roman"/>
          <w:b/>
          <w:bCs/>
          <w:sz w:val="24"/>
          <w:szCs w:val="24"/>
          <w:lang w:eastAsia="pl-PL"/>
        </w:rPr>
        <w:t>21.500 zł</w:t>
      </w:r>
      <w:r>
        <w:rPr>
          <w:rFonts w:eastAsia="Times New Roman" w:cs="Times New Roman" w:ascii="Times New Roman" w:hAnsi="Times New Roman"/>
          <w:sz w:val="24"/>
          <w:szCs w:val="24"/>
          <w:lang w:eastAsia="pl-PL"/>
        </w:rPr>
        <w:t>, m.in. z najmu pomieszczeń i rozliczenia energii elektrycznej z instalacji fotowoltaicznych.</w:t>
      </w:r>
    </w:p>
    <w:p>
      <w:pPr>
        <w:pStyle w:val="Normal"/>
        <w:numPr>
          <w:ilvl w:val="0"/>
          <w:numId w:val="1"/>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Dotacja celowa na </w:t>
      </w:r>
      <w:r>
        <w:rPr>
          <w:rFonts w:eastAsia="Times New Roman" w:cs="Times New Roman" w:ascii="Times New Roman" w:hAnsi="Times New Roman"/>
          <w:b/>
          <w:bCs/>
          <w:sz w:val="24"/>
          <w:szCs w:val="24"/>
          <w:lang w:eastAsia="pl-PL"/>
        </w:rPr>
        <w:t>stypendia socjalne dla uczniów</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27.488 zł</w:t>
      </w:r>
      <w:r>
        <w:rPr>
          <w:rFonts w:eastAsia="Times New Roman" w:cs="Times New Roman" w:ascii="Times New Roman" w:hAnsi="Times New Roman"/>
          <w:sz w:val="24"/>
          <w:szCs w:val="24"/>
          <w:lang w:eastAsia="pl-PL"/>
        </w:rPr>
        <w:t xml:space="preserve"> (rozdz. 85415).</w:t>
      </w:r>
    </w:p>
    <w:p>
      <w:pPr>
        <w:pStyle w:val="Normal"/>
        <w:numPr>
          <w:ilvl w:val="0"/>
          <w:numId w:val="1"/>
        </w:numPr>
        <w:tabs>
          <w:tab w:val="clear" w:pos="708"/>
          <w:tab w:val="left" w:pos="3969" w:leader="none"/>
        </w:tabs>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Dochody z egzekucji nienależnie pobranych świadczeń rodzinnych – </w:t>
      </w:r>
      <w:r>
        <w:rPr>
          <w:rFonts w:eastAsia="Times New Roman" w:cs="Times New Roman" w:ascii="Times New Roman" w:hAnsi="Times New Roman"/>
          <w:b/>
          <w:bCs/>
          <w:sz w:val="24"/>
          <w:szCs w:val="24"/>
          <w:lang w:eastAsia="pl-PL"/>
        </w:rPr>
        <w:t>52.000 zł</w:t>
      </w:r>
      <w:r>
        <w:rPr>
          <w:rFonts w:eastAsia="Times New Roman" w:cs="Times New Roman" w:ascii="Times New Roman" w:hAnsi="Times New Roman"/>
          <w:sz w:val="24"/>
          <w:szCs w:val="24"/>
          <w:lang w:eastAsia="pl-PL"/>
        </w:rPr>
        <w:t xml:space="preserve"> (rozdz. 85504), które zostaną przekazane Wojewodzie Wielkopolskiemu.</w:t>
      </w:r>
    </w:p>
    <w:p>
      <w:pPr>
        <w:pStyle w:val="Normal"/>
        <w:numPr>
          <w:ilvl w:val="0"/>
          <w:numId w:val="0"/>
        </w:numPr>
        <w:tabs>
          <w:tab w:val="clear" w:pos="708"/>
          <w:tab w:val="left" w:pos="3969" w:leader="none"/>
        </w:tabs>
        <w:spacing w:lineRule="auto" w:line="276" w:beforeAutospacing="1" w:afterAutospacing="1"/>
        <w:jc w:val="both"/>
        <w:outlineLvl w:val="3"/>
        <w:rPr>
          <w:rFonts w:ascii="Times New Roman" w:hAnsi="Times New Roman" w:eastAsia="Times New Roman" w:cs="Times New Roman"/>
          <w:b/>
          <w:bCs/>
          <w:sz w:val="24"/>
          <w:szCs w:val="24"/>
          <w:lang w:eastAsia="pl-PL"/>
        </w:rPr>
      </w:pPr>
      <w:r>
        <w:rPr>
          <w:rFonts w:eastAsia="Times New Roman" w:cs="Times New Roman" w:ascii="Times New Roman" w:hAnsi="Times New Roman"/>
          <w:b/>
          <w:bCs/>
          <w:sz w:val="24"/>
          <w:szCs w:val="24"/>
          <w:lang w:eastAsia="pl-PL"/>
        </w:rPr>
        <w:t>Wydatki</w:t>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dalszej części Skarbnik omówił zmiany po stronie </w:t>
      </w:r>
      <w:r>
        <w:rPr>
          <w:rFonts w:eastAsia="Times New Roman" w:cs="Times New Roman" w:ascii="Times New Roman" w:hAnsi="Times New Roman"/>
          <w:b/>
          <w:bCs/>
          <w:sz w:val="24"/>
          <w:szCs w:val="24"/>
          <w:lang w:eastAsia="pl-PL"/>
        </w:rPr>
        <w:t>wydatków budżetowych</w:t>
      </w:r>
      <w:r>
        <w:rPr>
          <w:rFonts w:eastAsia="Times New Roman" w:cs="Times New Roman" w:ascii="Times New Roman" w:hAnsi="Times New Roman"/>
          <w:sz w:val="24"/>
          <w:szCs w:val="24"/>
          <w:lang w:eastAsia="pl-PL"/>
        </w:rPr>
        <w:t>:</w:t>
      </w:r>
    </w:p>
    <w:p>
      <w:pPr>
        <w:pStyle w:val="Normal"/>
        <w:numPr>
          <w:ilvl w:val="0"/>
          <w:numId w:val="2"/>
        </w:numPr>
        <w:tabs>
          <w:tab w:val="clear" w:pos="708"/>
          <w:tab w:val="left" w:pos="3969" w:leader="none"/>
        </w:tabs>
        <w:spacing w:lineRule="auto" w:line="276" w:beforeAutospacing="1"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Transport zbiorowy (rozdz. 60004)</w:t>
      </w:r>
      <w:r>
        <w:rPr>
          <w:rFonts w:eastAsia="Times New Roman" w:cs="Times New Roman" w:ascii="Times New Roman" w:hAnsi="Times New Roman"/>
          <w:sz w:val="24"/>
          <w:szCs w:val="24"/>
          <w:lang w:eastAsia="pl-PL"/>
        </w:rPr>
        <w:t xml:space="preserve"> – zmniejszono dotację dla Miasta Poznania na funkcjonowanie wspólnej komunikacji miejskiej o </w:t>
      </w:r>
      <w:r>
        <w:rPr>
          <w:rFonts w:eastAsia="Times New Roman" w:cs="Times New Roman" w:ascii="Times New Roman" w:hAnsi="Times New Roman"/>
          <w:b/>
          <w:bCs/>
          <w:sz w:val="24"/>
          <w:szCs w:val="24"/>
          <w:lang w:eastAsia="pl-PL"/>
        </w:rPr>
        <w:t>115.250 zł</w:t>
      </w:r>
      <w:r>
        <w:rPr>
          <w:rFonts w:eastAsia="Times New Roman" w:cs="Times New Roman" w:ascii="Times New Roman" w:hAnsi="Times New Roman"/>
          <w:sz w:val="24"/>
          <w:szCs w:val="24"/>
          <w:lang w:eastAsia="pl-PL"/>
        </w:rPr>
        <w:t xml:space="preserve"> na podstawie podpisanej umowy i prognoz ZTM.</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Drogi publiczne gminne (rozdz. 60016)</w:t>
      </w:r>
      <w:r>
        <w:rPr>
          <w:rFonts w:eastAsia="Times New Roman" w:cs="Times New Roman" w:ascii="Times New Roman" w:hAnsi="Times New Roman"/>
          <w:sz w:val="24"/>
          <w:szCs w:val="24"/>
          <w:lang w:eastAsia="pl-PL"/>
        </w:rPr>
        <w:t>:</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zmniejszono środki o </w:t>
      </w:r>
      <w:r>
        <w:rPr>
          <w:rFonts w:eastAsia="Times New Roman" w:cs="Times New Roman" w:ascii="Times New Roman" w:hAnsi="Times New Roman"/>
          <w:b/>
          <w:bCs/>
          <w:sz w:val="24"/>
          <w:szCs w:val="24"/>
          <w:lang w:eastAsia="pl-PL"/>
        </w:rPr>
        <w:t>83.464,52 zł</w:t>
      </w:r>
      <w:r>
        <w:rPr>
          <w:rFonts w:eastAsia="Times New Roman" w:cs="Times New Roman" w:ascii="Times New Roman" w:hAnsi="Times New Roman"/>
          <w:sz w:val="24"/>
          <w:szCs w:val="24"/>
          <w:lang w:eastAsia="pl-PL"/>
        </w:rPr>
        <w:t xml:space="preserve"> na realizację projektu </w:t>
      </w:r>
      <w:r>
        <w:rPr>
          <w:rFonts w:eastAsia="Times New Roman" w:cs="Times New Roman" w:ascii="Times New Roman" w:hAnsi="Times New Roman"/>
          <w:b/>
          <w:bCs/>
          <w:sz w:val="24"/>
          <w:szCs w:val="24"/>
          <w:lang w:eastAsia="pl-PL"/>
        </w:rPr>
        <w:t>„Rowerem na Wartostradę”</w:t>
      </w:r>
      <w:r>
        <w:rPr>
          <w:rFonts w:eastAsia="Times New Roman" w:cs="Times New Roman" w:ascii="Times New Roman" w:hAnsi="Times New Roman"/>
          <w:sz w:val="24"/>
          <w:szCs w:val="24"/>
          <w:lang w:eastAsia="pl-PL"/>
        </w:rPr>
        <w:t>,</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zmniejszono wydatki o </w:t>
      </w:r>
      <w:r>
        <w:rPr>
          <w:rFonts w:eastAsia="Times New Roman" w:cs="Times New Roman" w:ascii="Times New Roman" w:hAnsi="Times New Roman"/>
          <w:b/>
          <w:bCs/>
          <w:sz w:val="24"/>
          <w:szCs w:val="24"/>
          <w:lang w:eastAsia="pl-PL"/>
        </w:rPr>
        <w:t>143.393,41 zł</w:t>
      </w:r>
      <w:r>
        <w:rPr>
          <w:rFonts w:eastAsia="Times New Roman" w:cs="Times New Roman" w:ascii="Times New Roman" w:hAnsi="Times New Roman"/>
          <w:sz w:val="24"/>
          <w:szCs w:val="24"/>
          <w:lang w:eastAsia="pl-PL"/>
        </w:rPr>
        <w:t xml:space="preserve"> na </w:t>
      </w:r>
      <w:r>
        <w:rPr>
          <w:rFonts w:eastAsia="Times New Roman" w:cs="Times New Roman" w:ascii="Times New Roman" w:hAnsi="Times New Roman"/>
          <w:b/>
          <w:bCs/>
          <w:sz w:val="24"/>
          <w:szCs w:val="24"/>
          <w:lang w:eastAsia="pl-PL"/>
        </w:rPr>
        <w:t>budowę ul. Buczka</w:t>
      </w:r>
      <w:r>
        <w:rPr>
          <w:rFonts w:eastAsia="Times New Roman" w:cs="Times New Roman" w:ascii="Times New Roman" w:hAnsi="Times New Roman"/>
          <w:sz w:val="24"/>
          <w:szCs w:val="24"/>
          <w:lang w:eastAsia="pl-PL"/>
        </w:rPr>
        <w:t xml:space="preserve"> – środki przeniesiono do rozdziału 90001 na kanalizację deszczową oraz dokonano korekty w związku z kosztorysem.</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Gospodarka nieruchomościami (rozdz. 70005)</w:t>
      </w:r>
      <w:r>
        <w:rPr>
          <w:rFonts w:eastAsia="Times New Roman" w:cs="Times New Roman" w:ascii="Times New Roman" w:hAnsi="Times New Roman"/>
          <w:sz w:val="24"/>
          <w:szCs w:val="24"/>
          <w:lang w:eastAsia="pl-PL"/>
        </w:rPr>
        <w:t xml:space="preserve"> – zwiększono środki o </w:t>
      </w:r>
      <w:r>
        <w:rPr>
          <w:rFonts w:eastAsia="Times New Roman" w:cs="Times New Roman" w:ascii="Times New Roman" w:hAnsi="Times New Roman"/>
          <w:b/>
          <w:bCs/>
          <w:sz w:val="24"/>
          <w:szCs w:val="24"/>
          <w:lang w:eastAsia="pl-PL"/>
        </w:rPr>
        <w:t>600.000 zł</w:t>
      </w:r>
      <w:r>
        <w:rPr>
          <w:rFonts w:eastAsia="Times New Roman" w:cs="Times New Roman" w:ascii="Times New Roman" w:hAnsi="Times New Roman"/>
          <w:sz w:val="24"/>
          <w:szCs w:val="24"/>
          <w:lang w:eastAsia="pl-PL"/>
        </w:rPr>
        <w:t xml:space="preserve"> z przeznaczeniem na </w:t>
      </w:r>
      <w:r>
        <w:rPr>
          <w:rFonts w:eastAsia="Times New Roman" w:cs="Times New Roman" w:ascii="Times New Roman" w:hAnsi="Times New Roman"/>
          <w:b/>
          <w:bCs/>
          <w:sz w:val="24"/>
          <w:szCs w:val="24"/>
          <w:lang w:eastAsia="pl-PL"/>
        </w:rPr>
        <w:t>wykup nieruchomości i odszkodowania</w:t>
      </w:r>
      <w:r>
        <w:rPr>
          <w:rFonts w:eastAsia="Times New Roman" w:cs="Times New Roman" w:ascii="Times New Roman" w:hAnsi="Times New Roman"/>
          <w:sz w:val="24"/>
          <w:szCs w:val="24"/>
          <w:lang w:eastAsia="pl-PL"/>
        </w:rPr>
        <w:t xml:space="preserve"> związane z inwestycjami miejskimi.</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Zagospodarowanie przestrzenne (rozdz. 71004)</w:t>
      </w:r>
      <w:r>
        <w:rPr>
          <w:rFonts w:eastAsia="Times New Roman" w:cs="Times New Roman" w:ascii="Times New Roman" w:hAnsi="Times New Roman"/>
          <w:sz w:val="24"/>
          <w:szCs w:val="24"/>
          <w:lang w:eastAsia="pl-PL"/>
        </w:rPr>
        <w:t xml:space="preserve"> – zwiększono plan wydatków o </w:t>
      </w:r>
      <w:r>
        <w:rPr>
          <w:rFonts w:eastAsia="Times New Roman" w:cs="Times New Roman" w:ascii="Times New Roman" w:hAnsi="Times New Roman"/>
          <w:b/>
          <w:bCs/>
          <w:sz w:val="24"/>
          <w:szCs w:val="24"/>
          <w:lang w:eastAsia="pl-PL"/>
        </w:rPr>
        <w:t>1.500 zł</w:t>
      </w:r>
      <w:r>
        <w:rPr>
          <w:rFonts w:eastAsia="Times New Roman" w:cs="Times New Roman" w:ascii="Times New Roman" w:hAnsi="Times New Roman"/>
          <w:sz w:val="24"/>
          <w:szCs w:val="24"/>
          <w:lang w:eastAsia="pl-PL"/>
        </w:rPr>
        <w:t>.</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Cmentarze komunalne (rozdz. 71035)</w:t>
      </w:r>
      <w:r>
        <w:rPr>
          <w:rFonts w:eastAsia="Times New Roman" w:cs="Times New Roman" w:ascii="Times New Roman" w:hAnsi="Times New Roman"/>
          <w:sz w:val="24"/>
          <w:szCs w:val="24"/>
          <w:lang w:eastAsia="pl-PL"/>
        </w:rPr>
        <w:t xml:space="preserve"> – zabezpieczono </w:t>
      </w:r>
      <w:r>
        <w:rPr>
          <w:rFonts w:eastAsia="Times New Roman" w:cs="Times New Roman" w:ascii="Times New Roman" w:hAnsi="Times New Roman"/>
          <w:b/>
          <w:bCs/>
          <w:sz w:val="24"/>
          <w:szCs w:val="24"/>
          <w:lang w:eastAsia="pl-PL"/>
        </w:rPr>
        <w:t>25.000 zł</w:t>
      </w:r>
      <w:r>
        <w:rPr>
          <w:rFonts w:eastAsia="Times New Roman" w:cs="Times New Roman" w:ascii="Times New Roman" w:hAnsi="Times New Roman"/>
          <w:sz w:val="24"/>
          <w:szCs w:val="24"/>
          <w:lang w:eastAsia="pl-PL"/>
        </w:rPr>
        <w:t xml:space="preserve"> na remont chłodni </w:t>
        <w:br/>
        <w:t>i wymianę agregatu chłodniczego; zmiana ta zostanie ujęta w autopoprawce.</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Administracja publiczna (rozdz. 75023)</w:t>
      </w:r>
      <w:r>
        <w:rPr>
          <w:rFonts w:eastAsia="Times New Roman" w:cs="Times New Roman" w:ascii="Times New Roman" w:hAnsi="Times New Roman"/>
          <w:sz w:val="24"/>
          <w:szCs w:val="24"/>
          <w:lang w:eastAsia="pl-PL"/>
        </w:rPr>
        <w:t xml:space="preserve"> – wprowadzono </w:t>
      </w:r>
      <w:r>
        <w:rPr>
          <w:rFonts w:eastAsia="Times New Roman" w:cs="Times New Roman" w:ascii="Times New Roman" w:hAnsi="Times New Roman"/>
          <w:b/>
          <w:bCs/>
          <w:sz w:val="24"/>
          <w:szCs w:val="24"/>
          <w:lang w:eastAsia="pl-PL"/>
        </w:rPr>
        <w:t>258.226,76 zł</w:t>
      </w:r>
      <w:r>
        <w:rPr>
          <w:rFonts w:eastAsia="Times New Roman" w:cs="Times New Roman" w:ascii="Times New Roman" w:hAnsi="Times New Roman"/>
          <w:sz w:val="24"/>
          <w:szCs w:val="24"/>
          <w:lang w:eastAsia="pl-PL"/>
        </w:rPr>
        <w:t xml:space="preserve"> na realizację programu </w:t>
      </w:r>
      <w:r>
        <w:rPr>
          <w:rFonts w:eastAsia="Times New Roman" w:cs="Times New Roman" w:ascii="Times New Roman" w:hAnsi="Times New Roman"/>
          <w:b/>
          <w:bCs/>
          <w:sz w:val="24"/>
          <w:szCs w:val="24"/>
          <w:lang w:eastAsia="pl-PL"/>
        </w:rPr>
        <w:t>„Cyberbezpieczny Samorząd”</w:t>
      </w:r>
      <w:r>
        <w:rPr>
          <w:rFonts w:eastAsia="Times New Roman" w:cs="Times New Roman" w:ascii="Times New Roman" w:hAnsi="Times New Roman"/>
          <w:sz w:val="24"/>
          <w:szCs w:val="24"/>
          <w:lang w:eastAsia="pl-PL"/>
        </w:rPr>
        <w:t>, zgodnie z ujęciem po stronie dochodów.</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Oświata i wychowanie (dział 801)</w:t>
      </w:r>
      <w:r>
        <w:rPr>
          <w:rFonts w:eastAsia="Times New Roman" w:cs="Times New Roman" w:ascii="Times New Roman" w:hAnsi="Times New Roman"/>
          <w:sz w:val="24"/>
          <w:szCs w:val="24"/>
          <w:lang w:eastAsia="pl-PL"/>
        </w:rPr>
        <w:t xml:space="preserve"> – dokonano przesunięć wynikających z wykazu potrzeb oświatowych:</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zwiększenia w rozdziałach </w:t>
      </w:r>
      <w:r>
        <w:rPr>
          <w:rFonts w:eastAsia="Times New Roman" w:cs="Times New Roman" w:ascii="Times New Roman" w:hAnsi="Times New Roman"/>
          <w:b/>
          <w:bCs/>
          <w:sz w:val="24"/>
          <w:szCs w:val="24"/>
          <w:lang w:eastAsia="pl-PL"/>
        </w:rPr>
        <w:t>80149 i 80150</w:t>
      </w:r>
      <w:r>
        <w:rPr>
          <w:rFonts w:eastAsia="Times New Roman" w:cs="Times New Roman" w:ascii="Times New Roman" w:hAnsi="Times New Roman"/>
          <w:sz w:val="24"/>
          <w:szCs w:val="24"/>
          <w:lang w:eastAsia="pl-PL"/>
        </w:rPr>
        <w:t xml:space="preserve"> – zadania wymagające specjalnej organizacji nauki i metod pracy,</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zakup klimatyzatorów</w:t>
      </w:r>
      <w:r>
        <w:rPr>
          <w:rFonts w:eastAsia="Times New Roman" w:cs="Times New Roman" w:ascii="Times New Roman" w:hAnsi="Times New Roman"/>
          <w:sz w:val="24"/>
          <w:szCs w:val="24"/>
          <w:lang w:eastAsia="pl-PL"/>
        </w:rPr>
        <w:t xml:space="preserve"> dla SP nr 1,</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zmniejszenie środków na fotowoltaikę</w:t>
      </w:r>
      <w:r>
        <w:rPr>
          <w:rFonts w:eastAsia="Times New Roman" w:cs="Times New Roman" w:ascii="Times New Roman" w:hAnsi="Times New Roman"/>
          <w:sz w:val="24"/>
          <w:szCs w:val="24"/>
          <w:lang w:eastAsia="pl-PL"/>
        </w:rPr>
        <w:t>,</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zakup kompensatora mocy biernej</w:t>
      </w:r>
      <w:r>
        <w:rPr>
          <w:rFonts w:eastAsia="Times New Roman" w:cs="Times New Roman" w:ascii="Times New Roman" w:hAnsi="Times New Roman"/>
          <w:sz w:val="24"/>
          <w:szCs w:val="24"/>
          <w:lang w:eastAsia="pl-PL"/>
        </w:rPr>
        <w:t xml:space="preserve"> dla SP nr 1,</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projekt „Zielony potencjał”</w:t>
      </w:r>
      <w:r>
        <w:rPr>
          <w:rFonts w:eastAsia="Times New Roman" w:cs="Times New Roman" w:ascii="Times New Roman" w:hAnsi="Times New Roman"/>
          <w:sz w:val="24"/>
          <w:szCs w:val="24"/>
          <w:lang w:eastAsia="pl-PL"/>
        </w:rPr>
        <w:t xml:space="preserve"> przy SP nr 2 – rozwój zieleni i odnawialnych źródeł energii.</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Ochrona zdrowia (dział 851)</w:t>
      </w:r>
      <w:r>
        <w:rPr>
          <w:rFonts w:eastAsia="Times New Roman" w:cs="Times New Roman" w:ascii="Times New Roman" w:hAnsi="Times New Roman"/>
          <w:sz w:val="24"/>
          <w:szCs w:val="24"/>
          <w:lang w:eastAsia="pl-PL"/>
        </w:rPr>
        <w:t xml:space="preserve"> – przesunięcie środków pomiędzy rozdziałami bez zmiany łącznej kwoty.</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Pomoc społeczna (rozdz. 85415)</w:t>
      </w:r>
      <w:r>
        <w:rPr>
          <w:rFonts w:eastAsia="Times New Roman" w:cs="Times New Roman" w:ascii="Times New Roman" w:hAnsi="Times New Roman"/>
          <w:sz w:val="24"/>
          <w:szCs w:val="24"/>
          <w:lang w:eastAsia="pl-PL"/>
        </w:rPr>
        <w:t xml:space="preserve"> – zwiększenie wydatków o </w:t>
      </w:r>
      <w:r>
        <w:rPr>
          <w:rFonts w:eastAsia="Times New Roman" w:cs="Times New Roman" w:ascii="Times New Roman" w:hAnsi="Times New Roman"/>
          <w:b/>
          <w:bCs/>
          <w:sz w:val="24"/>
          <w:szCs w:val="24"/>
          <w:lang w:eastAsia="pl-PL"/>
        </w:rPr>
        <w:t>27.488 zł</w:t>
      </w:r>
      <w:r>
        <w:rPr>
          <w:rFonts w:eastAsia="Times New Roman" w:cs="Times New Roman" w:ascii="Times New Roman" w:hAnsi="Times New Roman"/>
          <w:sz w:val="24"/>
          <w:szCs w:val="24"/>
          <w:lang w:eastAsia="pl-PL"/>
        </w:rPr>
        <w:t xml:space="preserve"> na </w:t>
      </w:r>
      <w:r>
        <w:rPr>
          <w:rFonts w:eastAsia="Times New Roman" w:cs="Times New Roman" w:ascii="Times New Roman" w:hAnsi="Times New Roman"/>
          <w:b/>
          <w:bCs/>
          <w:sz w:val="24"/>
          <w:szCs w:val="24"/>
          <w:lang w:eastAsia="pl-PL"/>
        </w:rPr>
        <w:t>stypendia socjalne dla uczniów</w:t>
      </w:r>
      <w:r>
        <w:rPr>
          <w:rFonts w:eastAsia="Times New Roman" w:cs="Times New Roman" w:ascii="Times New Roman" w:hAnsi="Times New Roman"/>
          <w:sz w:val="24"/>
          <w:szCs w:val="24"/>
          <w:lang w:eastAsia="pl-PL"/>
        </w:rPr>
        <w:t>.</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Świadczenia rodzinne (rozdz. 85504)</w:t>
      </w:r>
      <w:r>
        <w:rPr>
          <w:rFonts w:eastAsia="Times New Roman" w:cs="Times New Roman" w:ascii="Times New Roman" w:hAnsi="Times New Roman"/>
          <w:sz w:val="24"/>
          <w:szCs w:val="24"/>
          <w:lang w:eastAsia="pl-PL"/>
        </w:rPr>
        <w:t xml:space="preserve"> – ujęcie </w:t>
      </w:r>
      <w:r>
        <w:rPr>
          <w:rFonts w:eastAsia="Times New Roman" w:cs="Times New Roman" w:ascii="Times New Roman" w:hAnsi="Times New Roman"/>
          <w:b/>
          <w:bCs/>
          <w:sz w:val="24"/>
          <w:szCs w:val="24"/>
          <w:lang w:eastAsia="pl-PL"/>
        </w:rPr>
        <w:t>52.000 zł</w:t>
      </w:r>
      <w:r>
        <w:rPr>
          <w:rFonts w:eastAsia="Times New Roman" w:cs="Times New Roman" w:ascii="Times New Roman" w:hAnsi="Times New Roman"/>
          <w:sz w:val="24"/>
          <w:szCs w:val="24"/>
          <w:lang w:eastAsia="pl-PL"/>
        </w:rPr>
        <w:t xml:space="preserve"> wydatków, które zostaną przekazane Wojewodzie Wielkopolskiemu.</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Gospodarka ściekowa i ochrona wód (rozdz. 90001)</w:t>
      </w:r>
      <w:r>
        <w:rPr>
          <w:rFonts w:eastAsia="Times New Roman" w:cs="Times New Roman" w:ascii="Times New Roman" w:hAnsi="Times New Roman"/>
          <w:sz w:val="24"/>
          <w:szCs w:val="24"/>
          <w:lang w:eastAsia="pl-PL"/>
        </w:rPr>
        <w:t>:</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100.000 zł</w:t>
      </w:r>
      <w:r>
        <w:rPr>
          <w:rFonts w:eastAsia="Times New Roman" w:cs="Times New Roman" w:ascii="Times New Roman" w:hAnsi="Times New Roman"/>
          <w:sz w:val="24"/>
          <w:szCs w:val="24"/>
          <w:lang w:eastAsia="pl-PL"/>
        </w:rPr>
        <w:t xml:space="preserve"> – na </w:t>
      </w:r>
      <w:r>
        <w:rPr>
          <w:rFonts w:eastAsia="Times New Roman" w:cs="Times New Roman" w:ascii="Times New Roman" w:hAnsi="Times New Roman"/>
          <w:b/>
          <w:bCs/>
          <w:sz w:val="24"/>
          <w:szCs w:val="24"/>
          <w:lang w:eastAsia="pl-PL"/>
        </w:rPr>
        <w:t>budowę ul. Buczka</w:t>
      </w:r>
      <w:r>
        <w:rPr>
          <w:rFonts w:eastAsia="Times New Roman" w:cs="Times New Roman" w:ascii="Times New Roman" w:hAnsi="Times New Roman"/>
          <w:sz w:val="24"/>
          <w:szCs w:val="24"/>
          <w:lang w:eastAsia="pl-PL"/>
        </w:rPr>
        <w:t>,</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28.527,25 zł</w:t>
      </w:r>
      <w:r>
        <w:rPr>
          <w:rFonts w:eastAsia="Times New Roman" w:cs="Times New Roman" w:ascii="Times New Roman" w:hAnsi="Times New Roman"/>
          <w:sz w:val="24"/>
          <w:szCs w:val="24"/>
          <w:lang w:eastAsia="pl-PL"/>
        </w:rPr>
        <w:t xml:space="preserve"> – modernizacja </w:t>
      </w:r>
      <w:r>
        <w:rPr>
          <w:rFonts w:eastAsia="Times New Roman" w:cs="Times New Roman" w:ascii="Times New Roman" w:hAnsi="Times New Roman"/>
          <w:b/>
          <w:bCs/>
          <w:sz w:val="24"/>
          <w:szCs w:val="24"/>
          <w:lang w:eastAsia="pl-PL"/>
        </w:rPr>
        <w:t>przepompowni kanalizacji deszczowej</w:t>
      </w:r>
      <w:r>
        <w:rPr>
          <w:rFonts w:eastAsia="Times New Roman" w:cs="Times New Roman" w:ascii="Times New Roman" w:hAnsi="Times New Roman"/>
          <w:sz w:val="24"/>
          <w:szCs w:val="24"/>
          <w:lang w:eastAsia="pl-PL"/>
        </w:rPr>
        <w:t xml:space="preserve"> przy ul. Powstańców Wielkopolskich,</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71.627,88 zł</w:t>
      </w:r>
      <w:r>
        <w:rPr>
          <w:rFonts w:eastAsia="Times New Roman" w:cs="Times New Roman" w:ascii="Times New Roman" w:hAnsi="Times New Roman"/>
          <w:sz w:val="24"/>
          <w:szCs w:val="24"/>
          <w:lang w:eastAsia="pl-PL"/>
        </w:rPr>
        <w:t xml:space="preserve"> – dotacje na zakup </w:t>
      </w:r>
      <w:r>
        <w:rPr>
          <w:rFonts w:eastAsia="Times New Roman" w:cs="Times New Roman" w:ascii="Times New Roman" w:hAnsi="Times New Roman"/>
          <w:b/>
          <w:bCs/>
          <w:sz w:val="24"/>
          <w:szCs w:val="24"/>
          <w:lang w:eastAsia="pl-PL"/>
        </w:rPr>
        <w:t>zbiorników na wody opadowe</w:t>
      </w:r>
      <w:r>
        <w:rPr>
          <w:rFonts w:eastAsia="Times New Roman" w:cs="Times New Roman" w:ascii="Times New Roman" w:hAnsi="Times New Roman"/>
          <w:sz w:val="24"/>
          <w:szCs w:val="24"/>
          <w:lang w:eastAsia="pl-PL"/>
        </w:rPr>
        <w:t>.</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Utrzymanie zieleni (rozdz. 90004)</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10.750 zł</w:t>
      </w:r>
      <w:r>
        <w:rPr>
          <w:rFonts w:eastAsia="Times New Roman" w:cs="Times New Roman" w:ascii="Times New Roman" w:hAnsi="Times New Roman"/>
          <w:sz w:val="24"/>
          <w:szCs w:val="24"/>
          <w:lang w:eastAsia="pl-PL"/>
        </w:rPr>
        <w:t xml:space="preserve"> na </w:t>
      </w:r>
      <w:r>
        <w:rPr>
          <w:rFonts w:eastAsia="Times New Roman" w:cs="Times New Roman" w:ascii="Times New Roman" w:hAnsi="Times New Roman"/>
          <w:b/>
          <w:bCs/>
          <w:sz w:val="24"/>
          <w:szCs w:val="24"/>
          <w:lang w:eastAsia="pl-PL"/>
        </w:rPr>
        <w:t>badania diagnostyczne drzew</w:t>
      </w:r>
      <w:r>
        <w:rPr>
          <w:rFonts w:eastAsia="Times New Roman" w:cs="Times New Roman" w:ascii="Times New Roman" w:hAnsi="Times New Roman"/>
          <w:sz w:val="24"/>
          <w:szCs w:val="24"/>
          <w:lang w:eastAsia="pl-PL"/>
        </w:rPr>
        <w:t>.</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Ochrona powietrza i klimatu (rozdz. 90005)</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13.000 zł</w:t>
      </w:r>
      <w:r>
        <w:rPr>
          <w:rFonts w:eastAsia="Times New Roman" w:cs="Times New Roman" w:ascii="Times New Roman" w:hAnsi="Times New Roman"/>
          <w:sz w:val="24"/>
          <w:szCs w:val="24"/>
          <w:lang w:eastAsia="pl-PL"/>
        </w:rPr>
        <w:t>, z czego:</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dopłaty do wymiany pieców węglowych,</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opracowanie </w:t>
      </w:r>
      <w:r>
        <w:rPr>
          <w:rFonts w:eastAsia="Times New Roman" w:cs="Times New Roman" w:ascii="Times New Roman" w:hAnsi="Times New Roman"/>
          <w:b/>
          <w:bCs/>
          <w:sz w:val="24"/>
          <w:szCs w:val="24"/>
          <w:lang w:eastAsia="pl-PL"/>
        </w:rPr>
        <w:t>Miejskiego Planu Adaptacji do zmian klimatu</w:t>
      </w:r>
      <w:r>
        <w:rPr>
          <w:rFonts w:eastAsia="Times New Roman" w:cs="Times New Roman" w:ascii="Times New Roman" w:hAnsi="Times New Roman"/>
          <w:sz w:val="24"/>
          <w:szCs w:val="24"/>
          <w:lang w:eastAsia="pl-PL"/>
        </w:rPr>
        <w:t>.</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Oświetlenie ulic (rozdz. 915)</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7.750 zł</w:t>
      </w:r>
      <w:r>
        <w:rPr>
          <w:rFonts w:eastAsia="Times New Roman" w:cs="Times New Roman" w:ascii="Times New Roman" w:hAnsi="Times New Roman"/>
          <w:sz w:val="24"/>
          <w:szCs w:val="24"/>
          <w:lang w:eastAsia="pl-PL"/>
        </w:rPr>
        <w:t xml:space="preserve"> na projekt instalacji elektrycznej do doświetlenia przejścia dla pieszych przy ul. Ks. Streicha.</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Ochrona zabytków (rozdz. 92120)</w:t>
      </w:r>
      <w:r>
        <w:rPr>
          <w:rFonts w:eastAsia="Times New Roman" w:cs="Times New Roman" w:ascii="Times New Roman" w:hAnsi="Times New Roman"/>
          <w:sz w:val="24"/>
          <w:szCs w:val="24"/>
          <w:lang w:eastAsia="pl-PL"/>
        </w:rPr>
        <w:t xml:space="preserve"> – przesunięcie </w:t>
      </w:r>
      <w:r>
        <w:rPr>
          <w:rFonts w:eastAsia="Times New Roman" w:cs="Times New Roman" w:ascii="Times New Roman" w:hAnsi="Times New Roman"/>
          <w:b/>
          <w:bCs/>
          <w:sz w:val="24"/>
          <w:szCs w:val="24"/>
          <w:lang w:eastAsia="pl-PL"/>
        </w:rPr>
        <w:t>4.000 zł</w:t>
      </w:r>
      <w:r>
        <w:rPr>
          <w:rFonts w:eastAsia="Times New Roman" w:cs="Times New Roman" w:ascii="Times New Roman" w:hAnsi="Times New Roman"/>
          <w:sz w:val="24"/>
          <w:szCs w:val="24"/>
          <w:lang w:eastAsia="pl-PL"/>
        </w:rPr>
        <w:t xml:space="preserve"> z wydatków statutowych na </w:t>
      </w:r>
      <w:r>
        <w:rPr>
          <w:rFonts w:eastAsia="Times New Roman" w:cs="Times New Roman" w:ascii="Times New Roman" w:hAnsi="Times New Roman"/>
          <w:b/>
          <w:bCs/>
          <w:sz w:val="24"/>
          <w:szCs w:val="24"/>
          <w:lang w:eastAsia="pl-PL"/>
        </w:rPr>
        <w:t>dotację celową</w:t>
      </w:r>
      <w:r>
        <w:rPr>
          <w:rFonts w:eastAsia="Times New Roman" w:cs="Times New Roman" w:ascii="Times New Roman" w:hAnsi="Times New Roman"/>
          <w:sz w:val="24"/>
          <w:szCs w:val="24"/>
          <w:lang w:eastAsia="pl-PL"/>
        </w:rPr>
        <w:t xml:space="preserve"> na prace konserwatorskie.</w:t>
      </w:r>
    </w:p>
    <w:p>
      <w:pPr>
        <w:pStyle w:val="Normal"/>
        <w:numPr>
          <w:ilvl w:val="0"/>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Kultura fizyczna (rozdz. 92695)</w:t>
      </w:r>
      <w:r>
        <w:rPr>
          <w:rFonts w:eastAsia="Times New Roman" w:cs="Times New Roman" w:ascii="Times New Roman" w:hAnsi="Times New Roman"/>
          <w:sz w:val="24"/>
          <w:szCs w:val="24"/>
          <w:lang w:eastAsia="pl-PL"/>
        </w:rPr>
        <w:t xml:space="preserve"> – </w:t>
      </w:r>
      <w:r>
        <w:rPr>
          <w:rFonts w:eastAsia="Times New Roman" w:cs="Times New Roman" w:ascii="Times New Roman" w:hAnsi="Times New Roman"/>
          <w:b/>
          <w:bCs/>
          <w:sz w:val="24"/>
          <w:szCs w:val="24"/>
          <w:lang w:eastAsia="pl-PL"/>
        </w:rPr>
        <w:t>zwiększono łącznie wydatki o 12.930 zł</w:t>
      </w:r>
      <w:r>
        <w:rPr>
          <w:rFonts w:eastAsia="Times New Roman" w:cs="Times New Roman" w:ascii="Times New Roman" w:hAnsi="Times New Roman"/>
          <w:sz w:val="24"/>
          <w:szCs w:val="24"/>
          <w:lang w:eastAsia="pl-PL"/>
        </w:rPr>
        <w:t>, w tym:</w:t>
      </w:r>
    </w:p>
    <w:p>
      <w:pPr>
        <w:pStyle w:val="Normal"/>
        <w:numPr>
          <w:ilvl w:val="1"/>
          <w:numId w:val="2"/>
        </w:numPr>
        <w:tabs>
          <w:tab w:val="clear" w:pos="708"/>
          <w:tab w:val="left" w:pos="3969" w:leader="none"/>
        </w:tabs>
        <w:spacing w:lineRule="auto" w:line="276" w:before="0" w:after="0"/>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10.930 zł</w:t>
      </w:r>
      <w:r>
        <w:rPr>
          <w:rFonts w:eastAsia="Times New Roman" w:cs="Times New Roman" w:ascii="Times New Roman" w:hAnsi="Times New Roman"/>
          <w:sz w:val="24"/>
          <w:szCs w:val="24"/>
          <w:lang w:eastAsia="pl-PL"/>
        </w:rPr>
        <w:t xml:space="preserve"> na </w:t>
      </w:r>
      <w:r>
        <w:rPr>
          <w:rFonts w:eastAsia="Times New Roman" w:cs="Times New Roman" w:ascii="Times New Roman" w:hAnsi="Times New Roman"/>
          <w:b/>
          <w:bCs/>
          <w:sz w:val="24"/>
          <w:szCs w:val="24"/>
          <w:lang w:eastAsia="pl-PL"/>
        </w:rPr>
        <w:t>wynagrodzenia i składki ZUS</w:t>
      </w:r>
      <w:r>
        <w:rPr>
          <w:rFonts w:eastAsia="Times New Roman" w:cs="Times New Roman" w:ascii="Times New Roman" w:hAnsi="Times New Roman"/>
          <w:sz w:val="24"/>
          <w:szCs w:val="24"/>
          <w:lang w:eastAsia="pl-PL"/>
        </w:rPr>
        <w:t xml:space="preserve"> dla osoby zatrudnionej w weekendy i święta do otwierania i zamykania boiska przy ul. Konarzewskiego oraz boiska i placu zabaw przy ul. Jaśminowej,</w:t>
      </w:r>
    </w:p>
    <w:p>
      <w:pPr>
        <w:pStyle w:val="Normal"/>
        <w:numPr>
          <w:ilvl w:val="1"/>
          <w:numId w:val="2"/>
        </w:numPr>
        <w:tabs>
          <w:tab w:val="clear" w:pos="708"/>
          <w:tab w:val="left" w:pos="3969" w:leader="none"/>
        </w:tabs>
        <w:spacing w:lineRule="auto" w:line="276" w:before="0"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2.000 zł</w:t>
      </w:r>
      <w:r>
        <w:rPr>
          <w:rFonts w:eastAsia="Times New Roman" w:cs="Times New Roman" w:ascii="Times New Roman" w:hAnsi="Times New Roman"/>
          <w:sz w:val="24"/>
          <w:szCs w:val="24"/>
          <w:lang w:eastAsia="pl-PL"/>
        </w:rPr>
        <w:t xml:space="preserve"> na zadania statutowe jednostki.</w:t>
      </w:r>
    </w:p>
    <w:p>
      <w:pPr>
        <w:pStyle w:val="NormalWeb"/>
        <w:tabs>
          <w:tab w:val="clear" w:pos="708"/>
          <w:tab w:val="left" w:pos="3969" w:leader="none"/>
        </w:tabs>
        <w:spacing w:lineRule="auto" w:line="276" w:before="280" w:after="280"/>
        <w:jc w:val="both"/>
        <w:rPr/>
      </w:pPr>
      <w:r>
        <w:rPr/>
        <w:t xml:space="preserve">W zakończeniu swojej wypowiedzi Skarbnik przedstawił </w:t>
      </w:r>
      <w:r>
        <w:rPr>
          <w:b/>
        </w:rPr>
        <w:t>autopoprawki</w:t>
      </w:r>
      <w:r>
        <w:rPr/>
        <w:t xml:space="preserve"> wynikające z nowych informacji, które wpłynęły do Urzędu Miasta już po przygotowaniu pierwotnej wersji uchwały. Zmiany te dotyczą zarówno strony dochodowej, jak i wydatkowej budżetu:</w:t>
      </w:r>
    </w:p>
    <w:p>
      <w:pPr>
        <w:pStyle w:val="NormalWeb"/>
        <w:numPr>
          <w:ilvl w:val="0"/>
          <w:numId w:val="3"/>
        </w:numPr>
        <w:tabs>
          <w:tab w:val="clear" w:pos="708"/>
          <w:tab w:val="left" w:pos="3969" w:leader="none"/>
        </w:tabs>
        <w:spacing w:lineRule="auto" w:line="276" w:before="280" w:after="0"/>
        <w:jc w:val="both"/>
        <w:rPr/>
      </w:pPr>
      <w:r>
        <w:rPr>
          <w:rStyle w:val="Strong"/>
        </w:rPr>
        <w:t xml:space="preserve">W dziale 75108 (urzędy naczelnych organów władzy państwowej, kontroli </w:t>
        <w:br/>
        <w:t>i ochrony prawa oraz sądownictwa)</w:t>
      </w:r>
      <w:r>
        <w:rPr/>
        <w:t xml:space="preserve"> – wprowadzono dodatkowe środki w wysokości </w:t>
      </w:r>
      <w:r>
        <w:rPr>
          <w:rStyle w:val="Strong"/>
        </w:rPr>
        <w:t>77.200 zł</w:t>
      </w:r>
      <w:r>
        <w:rPr/>
        <w:t xml:space="preserve">, które wpłynęły z </w:t>
      </w:r>
      <w:r>
        <w:rPr>
          <w:rStyle w:val="Strong"/>
        </w:rPr>
        <w:t>Krajowego Biura Wyborczego – Delegatura w Poznaniu</w:t>
      </w:r>
      <w:r>
        <w:rPr/>
        <w:t xml:space="preserve"> z przeznaczeniem na </w:t>
      </w:r>
      <w:r>
        <w:rPr>
          <w:rStyle w:val="Strong"/>
        </w:rPr>
        <w:t>zryczałtowane diety dla członków Obwodowych Komisji Wyborczych</w:t>
      </w:r>
      <w:r>
        <w:rPr/>
        <w:t>. Środki te muszą zostać ujęte w budżecie niezwłocznie, aby możliwe było ich wypłacenie po zakończeniu I tury wyborów.</w:t>
      </w:r>
    </w:p>
    <w:p>
      <w:pPr>
        <w:pStyle w:val="NormalWeb"/>
        <w:numPr>
          <w:ilvl w:val="0"/>
          <w:numId w:val="3"/>
        </w:numPr>
        <w:tabs>
          <w:tab w:val="clear" w:pos="708"/>
          <w:tab w:val="left" w:pos="3969" w:leader="none"/>
        </w:tabs>
        <w:spacing w:lineRule="auto" w:line="276" w:before="0" w:after="0"/>
        <w:jc w:val="both"/>
        <w:rPr/>
      </w:pPr>
      <w:r>
        <w:rPr>
          <w:rStyle w:val="Strong"/>
        </w:rPr>
        <w:t>W dziale 85216 (zasiłki stałe)</w:t>
      </w:r>
      <w:r>
        <w:rPr/>
        <w:t xml:space="preserve"> oraz </w:t>
      </w:r>
      <w:r>
        <w:rPr>
          <w:rStyle w:val="Strong"/>
        </w:rPr>
        <w:t>85513 (składki na ubezpieczenie zdrowotne)</w:t>
      </w:r>
      <w:r>
        <w:rPr/>
        <w:t xml:space="preserve"> </w:t>
        <w:br/>
        <w:t xml:space="preserve">– zwiększono plan wydatków w związku ze zwrotami nienależnie pobranych świadczeń, które uprzednio zostały zakwalifikowane jako dochód. Teraz środki te są formalnie przekazywane do </w:t>
      </w:r>
      <w:r>
        <w:rPr>
          <w:rStyle w:val="Strong"/>
        </w:rPr>
        <w:t>Wojewody Wielkopolskiego</w:t>
      </w:r>
      <w:r>
        <w:rPr/>
        <w:t>, zgodnie z obowiązującymi przepisami.</w:t>
      </w:r>
    </w:p>
    <w:p>
      <w:pPr>
        <w:pStyle w:val="NormalWeb"/>
        <w:numPr>
          <w:ilvl w:val="0"/>
          <w:numId w:val="3"/>
        </w:numPr>
        <w:tabs>
          <w:tab w:val="clear" w:pos="708"/>
          <w:tab w:val="left" w:pos="3969" w:leader="none"/>
        </w:tabs>
        <w:spacing w:lineRule="auto" w:line="276" w:before="0" w:after="280"/>
        <w:jc w:val="both"/>
        <w:rPr/>
      </w:pPr>
      <w:r>
        <w:rPr>
          <w:rStyle w:val="Strong"/>
        </w:rPr>
        <w:t>W dziale 71035 (cmentarze)</w:t>
      </w:r>
      <w:r>
        <w:rPr/>
        <w:t xml:space="preserve"> – doprecyzowano sposób zaklasyfikowania wydatków na </w:t>
      </w:r>
      <w:r>
        <w:rPr>
          <w:rStyle w:val="Strong"/>
        </w:rPr>
        <w:t>remont dachu i zakup agregatu chłodniczego</w:t>
      </w:r>
      <w:r>
        <w:rPr/>
        <w:t xml:space="preserve">. Po otrzymaniu dodatkowych informacji z Biura Majątku Komunalnego ustalono, że </w:t>
      </w:r>
      <w:r>
        <w:rPr>
          <w:rStyle w:val="Strong"/>
        </w:rPr>
        <w:t>zakup agregatu o wartości powyżej 10.000 zł</w:t>
      </w:r>
      <w:r>
        <w:rPr/>
        <w:t xml:space="preserve"> należy zakwalifikować jako </w:t>
      </w:r>
      <w:r>
        <w:rPr>
          <w:rStyle w:val="Strong"/>
        </w:rPr>
        <w:t>wydatek majątkowy</w:t>
      </w:r>
      <w:r>
        <w:rPr/>
        <w:t xml:space="preserve">. W związku z tym dokonano przeniesienia środków z wydatków bieżących na majątkowe, bez zmiany łącznej kwoty – nadal wynosi ona </w:t>
      </w:r>
      <w:r>
        <w:rPr>
          <w:rStyle w:val="Strong"/>
        </w:rPr>
        <w:t>25.000 zł</w:t>
      </w:r>
      <w:r>
        <w:rPr/>
        <w:t>.</w:t>
      </w:r>
    </w:p>
    <w:p>
      <w:pPr>
        <w:pStyle w:val="Normal"/>
        <w:tabs>
          <w:tab w:val="clear" w:pos="708"/>
          <w:tab w:val="left" w:pos="3969"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969" w:leader="none"/>
        </w:tabs>
        <w:spacing w:lineRule="auto" w:line="276"/>
        <w:jc w:val="both"/>
        <w:rPr>
          <w:rFonts w:ascii="Times New Roman" w:hAnsi="Times New Roman" w:cs="Times New Roman"/>
          <w:b/>
          <w:sz w:val="24"/>
          <w:szCs w:val="24"/>
        </w:rPr>
      </w:pPr>
      <w:r>
        <w:rPr>
          <w:rFonts w:cs="Times New Roman" w:ascii="Times New Roman" w:hAnsi="Times New Roman"/>
          <w:b/>
          <w:sz w:val="24"/>
          <w:szCs w:val="24"/>
        </w:rPr>
        <w:t>Dyskusja i pytania radnych:</w:t>
      </w:r>
    </w:p>
    <w:p>
      <w:pPr>
        <w:pStyle w:val="NoSpacing"/>
        <w:ind w:left="708" w:hanging="0"/>
        <w:rPr>
          <w:rStyle w:val="Strong"/>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Spacing"/>
        <w:ind w:left="708" w:hanging="0"/>
        <w:rPr>
          <w:rStyle w:val="Strong"/>
          <w:rFonts w:ascii="Times New Roman" w:hAnsi="Times New Roman" w:eastAsia="Times New Roman" w:cs="Times New Roman"/>
          <w:sz w:val="24"/>
          <w:szCs w:val="24"/>
          <w:u w:val="single"/>
          <w:lang w:eastAsia="pl-PL"/>
        </w:rPr>
      </w:pPr>
      <w:r>
        <w:rPr>
          <w:rStyle w:val="Strong"/>
          <w:rFonts w:eastAsia="Times New Roman" w:cs="Times New Roman" w:ascii="Times New Roman" w:hAnsi="Times New Roman"/>
          <w:sz w:val="24"/>
          <w:szCs w:val="24"/>
          <w:u w:val="single"/>
          <w:lang w:eastAsia="pl-PL"/>
        </w:rPr>
        <w:t>Pytanie nr 1 – dotyczące środków na wykup gruntów i odszkodowania (rozdział 70005)</w:t>
      </w:r>
    </w:p>
    <w:p>
      <w:pPr>
        <w:pStyle w:val="NormalWeb"/>
        <w:tabs>
          <w:tab w:val="clear" w:pos="708"/>
          <w:tab w:val="left" w:pos="3969" w:leader="none"/>
        </w:tabs>
        <w:spacing w:lineRule="auto" w:line="276" w:before="280" w:after="280"/>
        <w:ind w:left="708" w:hanging="0"/>
        <w:jc w:val="both"/>
        <w:rPr/>
      </w:pPr>
      <w:r>
        <w:rPr/>
        <w:t xml:space="preserve">Radna </w:t>
      </w:r>
      <w:r>
        <w:rPr>
          <w:rStyle w:val="Strong"/>
          <w:b w:val="false"/>
        </w:rPr>
        <w:t>Katarzyna Ekwińska</w:t>
      </w:r>
      <w:r>
        <w:rPr/>
        <w:t xml:space="preserve"> zapytała, jakich konkretnie nieruchomości dotyczy zaplanowana w rozdziale </w:t>
      </w:r>
      <w:r>
        <w:rPr>
          <w:rStyle w:val="Strong"/>
          <w:b w:val="false"/>
        </w:rPr>
        <w:t>70005</w:t>
      </w:r>
      <w:r>
        <w:rPr/>
        <w:t xml:space="preserve"> kwota </w:t>
      </w:r>
      <w:r>
        <w:rPr>
          <w:rStyle w:val="Strong"/>
          <w:b w:val="false"/>
        </w:rPr>
        <w:t>600.000 zł</w:t>
      </w:r>
      <w:r>
        <w:rPr/>
        <w:t xml:space="preserve"> przeznaczona na wykup gruntów oraz wypłatę odszkodowań w związku z decyzjami ZRID.</w:t>
      </w:r>
    </w:p>
    <w:p>
      <w:pPr>
        <w:pStyle w:val="NormalWeb"/>
        <w:tabs>
          <w:tab w:val="clear" w:pos="708"/>
          <w:tab w:val="left" w:pos="3969" w:leader="none"/>
        </w:tabs>
        <w:spacing w:lineRule="auto" w:line="276" w:before="280" w:after="280"/>
        <w:ind w:left="708" w:hanging="0"/>
        <w:jc w:val="both"/>
        <w:rPr/>
      </w:pPr>
      <w:r>
        <w:rPr>
          <w:rStyle w:val="Strong"/>
          <w:b w:val="false"/>
        </w:rPr>
        <w:t>Burmistrz Małgorzata Machalska</w:t>
      </w:r>
      <w:r>
        <w:rPr/>
        <w:t xml:space="preserve"> wyjaśniła, że środki te dotyczą przede wszystkim spraw związanych z przejęciami gruntów pod inwestycje drogowe – zarówno tych wynikających z decyzji ZRID (np. w rejonie ul. Buczka), jak i wypłat odszkodowań </w:t>
        <w:br/>
        <w:t>w przypadku przejęć nieruchomości z mocy prawa, na podstawie dokonanych podziałów działek przez właścicieli (np. w rejonie ul. Ogrodowej czy planowanej drogi południowej).</w:t>
      </w:r>
    </w:p>
    <w:p>
      <w:pPr>
        <w:pStyle w:val="NormalWeb"/>
        <w:tabs>
          <w:tab w:val="clear" w:pos="708"/>
          <w:tab w:val="left" w:pos="3969" w:leader="none"/>
        </w:tabs>
        <w:spacing w:lineRule="auto" w:line="276" w:before="280" w:after="280"/>
        <w:ind w:left="708" w:hanging="0"/>
        <w:jc w:val="both"/>
        <w:rPr/>
      </w:pPr>
      <w:r>
        <w:rPr/>
        <w:t xml:space="preserve">Wskazała, że szczegółowa wysokość odszkodowań będzie znana po zakończeniu procedur wyceny, które są zlecane przez </w:t>
      </w:r>
      <w:r>
        <w:rPr>
          <w:rStyle w:val="Strong"/>
          <w:b w:val="false"/>
        </w:rPr>
        <w:t>starostę poznańskiego</w:t>
      </w:r>
      <w:r>
        <w:rPr/>
        <w:t xml:space="preserve"> na podstawie decyzji administracyjnych. </w:t>
      </w:r>
      <w:r>
        <w:rPr>
          <w:rStyle w:val="Strong"/>
          <w:b w:val="false"/>
        </w:rPr>
        <w:t>Obecnie trwają wyceny</w:t>
      </w:r>
      <w:r>
        <w:rPr/>
        <w:t xml:space="preserve">, a ich wyniki będą decydować </w:t>
        <w:br/>
        <w:t>o konkretnych wartościach wypłat.</w:t>
      </w:r>
    </w:p>
    <w:p>
      <w:pPr>
        <w:pStyle w:val="NormalWeb"/>
        <w:tabs>
          <w:tab w:val="clear" w:pos="708"/>
          <w:tab w:val="left" w:pos="3969" w:leader="none"/>
        </w:tabs>
        <w:spacing w:lineRule="auto" w:line="276" w:before="280" w:after="280"/>
        <w:ind w:left="708" w:hanging="0"/>
        <w:jc w:val="both"/>
        <w:rPr/>
      </w:pPr>
      <w:r>
        <w:rPr/>
        <w:t xml:space="preserve">Na pytanie </w:t>
      </w:r>
      <w:r>
        <w:rPr>
          <w:rStyle w:val="Strong"/>
          <w:b w:val="false"/>
        </w:rPr>
        <w:t>Macieja Różańskiego</w:t>
      </w:r>
      <w:r>
        <w:rPr/>
        <w:t xml:space="preserve"> o średnią stawkę za metr kwadratowy oraz zakres powierzchni objętej odszkodowaniami, burmistrz odpowiedziała, że w ostatnich latach za grunty przejmowane pod drogi wypłacano </w:t>
      </w:r>
      <w:r>
        <w:rPr>
          <w:rStyle w:val="Strong"/>
          <w:b w:val="false"/>
        </w:rPr>
        <w:t>średnio około 100 zł/m²</w:t>
      </w:r>
      <w:r>
        <w:rPr/>
        <w:t>, natomiast szczegóły będą znane dopiero po zakończeniu bieżących wycen.</w:t>
      </w:r>
    </w:p>
    <w:p>
      <w:pPr>
        <w:pStyle w:val="NormalWeb"/>
        <w:tabs>
          <w:tab w:val="clear" w:pos="708"/>
          <w:tab w:val="left" w:pos="3969" w:leader="none"/>
        </w:tabs>
        <w:spacing w:lineRule="auto" w:line="276" w:before="280" w:after="280"/>
        <w:ind w:left="708" w:hanging="0"/>
        <w:jc w:val="both"/>
        <w:rPr/>
      </w:pPr>
      <w:r>
        <w:rPr>
          <w:rStyle w:val="Strong"/>
          <w:b w:val="false"/>
        </w:rPr>
        <w:t>Skarbnik Miasta Mirosław Stromczyński</w:t>
      </w:r>
      <w:r>
        <w:rPr/>
        <w:t xml:space="preserve"> dodał, że miasto musi być gotowe na realizację wypłat w każdej chwili, ponieważ wiele postępowań jest w toku i </w:t>
      </w:r>
      <w:r>
        <w:rPr>
          <w:rStyle w:val="Strong"/>
          <w:b w:val="false"/>
        </w:rPr>
        <w:t>może dojść do wypłat w różnych momentach roku budżetowego</w:t>
      </w:r>
      <w:r>
        <w:rPr/>
        <w:t>. Z tego względu celowo zabezpieczono środki, które mogą być uruchamiane w miarę zapotrzebowania.</w:t>
      </w:r>
    </w:p>
    <w:p>
      <w:pPr>
        <w:pStyle w:val="NormalWeb"/>
        <w:tabs>
          <w:tab w:val="clear" w:pos="708"/>
          <w:tab w:val="left" w:pos="3969" w:leader="none"/>
        </w:tabs>
        <w:spacing w:lineRule="auto" w:line="276" w:before="280" w:after="280"/>
        <w:ind w:left="708" w:hanging="0"/>
        <w:jc w:val="both"/>
        <w:rPr/>
      </w:pPr>
      <w:r>
        <w:rPr>
          <w:rStyle w:val="Strong"/>
          <w:b w:val="false"/>
        </w:rPr>
        <w:t>Maciej Różański</w:t>
      </w:r>
      <w:r>
        <w:rPr/>
        <w:t xml:space="preserve"> dopytywał, czy większa liczba działek została wydzielona z jednej nieruchomości, czy też chodziło tylko o wydzielenie pasa pod planowaną drogę. Burmistrz Małgorzata Machalska odpowiedziała, że musi w tym zakresie zasięgnąć szczegółowych informacji w wydziale merytorycznym, ale wskazała, że przypadki te </w:t>
        <w:br/>
        <w:t xml:space="preserve">są zróżnicowane. W niektórych sytuacjach przejęcie gruntu pod drogę może prowadzić do wzrostu wartości pozostałej części nieruchomości, co wiąże się z </w:t>
      </w:r>
      <w:r>
        <w:rPr>
          <w:rStyle w:val="Strong"/>
          <w:b w:val="false"/>
        </w:rPr>
        <w:t>obowiązkiem wniesienia opłaty adiacenckiej</w:t>
      </w:r>
      <w:r>
        <w:rPr/>
        <w:t>.</w:t>
      </w:r>
    </w:p>
    <w:p>
      <w:pPr>
        <w:pStyle w:val="NormalWeb"/>
        <w:tabs>
          <w:tab w:val="clear" w:pos="708"/>
          <w:tab w:val="left" w:pos="3969" w:leader="none"/>
        </w:tabs>
        <w:spacing w:lineRule="auto" w:line="276" w:before="280" w:after="280"/>
        <w:ind w:left="708" w:hanging="0"/>
        <w:jc w:val="both"/>
        <w:rPr/>
      </w:pPr>
      <w:r>
        <w:rPr/>
        <w:t xml:space="preserve">Wskazała, że przykładowo w sytuacji podziału dużego gruntu rolnego na kilkadziesiąt mniejszych działek – część wydzielona pod drogę może generować </w:t>
      </w:r>
      <w:r>
        <w:rPr>
          <w:rStyle w:val="Strong"/>
          <w:b w:val="false"/>
        </w:rPr>
        <w:t>roszczenie odszkodowawcze</w:t>
      </w:r>
      <w:r>
        <w:rPr/>
        <w:t>, a pozostałe działki zyskać na wartości, co skutkuje naliczeniem opłaty adiacenckiej. Ostateczna decyzja w tej sprawie zależy od opinii rzeczoznawcy majątkowego.</w:t>
      </w:r>
    </w:p>
    <w:p>
      <w:pPr>
        <w:pStyle w:val="NormalWeb"/>
        <w:tabs>
          <w:tab w:val="clear" w:pos="708"/>
          <w:tab w:val="left" w:pos="3969" w:leader="none"/>
        </w:tabs>
        <w:spacing w:lineRule="auto" w:line="276" w:before="280" w:after="280"/>
        <w:ind w:left="708" w:hanging="0"/>
        <w:jc w:val="both"/>
        <w:rPr/>
      </w:pPr>
      <w:r>
        <w:rPr/>
        <w:t xml:space="preserve">Burmistrz podkreśliła również, że w przypadku wielu inwestycji drogowych, gmina wcześniej rozpoczyna realizację robót, jeszcze zanim decyzje ZRID uzyskają prawomocność. Przykładem może być ulica </w:t>
      </w:r>
      <w:r>
        <w:rPr>
          <w:rStyle w:val="Strong"/>
          <w:b w:val="false"/>
        </w:rPr>
        <w:t>Buczka</w:t>
      </w:r>
      <w:r>
        <w:rPr/>
        <w:t xml:space="preserve">, gdzie </w:t>
      </w:r>
      <w:r>
        <w:rPr>
          <w:rStyle w:val="Strong"/>
          <w:b w:val="false"/>
        </w:rPr>
        <w:t>protest jednego z właścicieli opóźnił uprawomocnienie decyzji ZRID</w:t>
      </w:r>
      <w:r>
        <w:rPr/>
        <w:t>, a co za tym idzie – również rozpoczęcie procedury wyceny i wypłaty odszkodowań. W efekcie, mimo że prace budowlane trwały, właściciele działek przez wiele miesięcy nie otrzymali należnych im środków.</w:t>
      </w:r>
    </w:p>
    <w:p>
      <w:pPr>
        <w:pStyle w:val="NormalWeb"/>
        <w:tabs>
          <w:tab w:val="clear" w:pos="708"/>
          <w:tab w:val="left" w:pos="3969" w:leader="none"/>
        </w:tabs>
        <w:spacing w:lineRule="auto" w:line="276" w:before="280" w:after="280"/>
        <w:ind w:left="708" w:hanging="0"/>
        <w:jc w:val="both"/>
        <w:rPr/>
      </w:pPr>
      <w:r>
        <w:rPr>
          <w:rStyle w:val="Strong"/>
          <w:b w:val="false"/>
        </w:rPr>
        <w:t>Radna Monika Nawrot</w:t>
      </w:r>
      <w:r>
        <w:rPr/>
        <w:t xml:space="preserve"> wyraziła wątpliwość, czy tak szybkie zwiększanie środków nie jest zbyt pochopne, skoro niektóre podziały i roszczenia są jeszcze na wczesnym etapie. Burmistrz wyjaśniła, że </w:t>
      </w:r>
      <w:r>
        <w:rPr>
          <w:rStyle w:val="Strong"/>
          <w:b w:val="false"/>
        </w:rPr>
        <w:t>środki planowane są świadomie w sposób oszczędny</w:t>
      </w:r>
      <w:r>
        <w:rPr/>
        <w:t>, tak by nie blokować nadmiernie budżetu, ale jednocześnie nie doprowadzać do sytuacji, w której brak środków uniemożliwiłby terminową wypłatę odszkodowań.</w:t>
      </w:r>
    </w:p>
    <w:p>
      <w:pPr>
        <w:pStyle w:val="NormalWeb"/>
        <w:tabs>
          <w:tab w:val="clear" w:pos="708"/>
          <w:tab w:val="left" w:pos="3969" w:leader="none"/>
        </w:tabs>
        <w:spacing w:lineRule="auto" w:line="276" w:before="280" w:after="280"/>
        <w:ind w:left="708" w:hanging="0"/>
        <w:jc w:val="both"/>
        <w:rPr/>
      </w:pPr>
      <w:r>
        <w:rPr>
          <w:rStyle w:val="Strong"/>
          <w:b w:val="false"/>
        </w:rPr>
        <w:t>Burmistrz wskazała, że nie posiada obecnie przy sobie pełnego rejestru wszystkich spraw</w:t>
      </w:r>
      <w:r>
        <w:rPr/>
        <w:t xml:space="preserve">, jednak w razie potrzeby taki rejestr może zostać wygenerowany przez właściwy wydział. Wiele spraw pozostaje nierozstrzygniętych, część może być związana </w:t>
        <w:br/>
        <w:t>z postępowaniami spadkowymi lub oczekiwaniem na decyzje administracyjne.</w:t>
      </w:r>
    </w:p>
    <w:p>
      <w:pPr>
        <w:pStyle w:val="Normal"/>
        <w:tabs>
          <w:tab w:val="clear" w:pos="708"/>
          <w:tab w:val="left" w:pos="3969" w:leader="none"/>
        </w:tabs>
        <w:spacing w:lineRule="auto" w:line="276"/>
        <w:ind w:left="708" w:hanging="0"/>
        <w:jc w:val="both"/>
        <w:rPr>
          <w:rFonts w:ascii="Times New Roman" w:hAnsi="Times New Roman" w:cs="Times New Roman"/>
          <w:sz w:val="24"/>
          <w:szCs w:val="24"/>
        </w:rPr>
      </w:pPr>
      <w:r>
        <w:rPr>
          <w:rFonts w:cs="Times New Roman" w:ascii="Times New Roman" w:hAnsi="Times New Roman"/>
          <w:sz w:val="24"/>
          <w:szCs w:val="24"/>
        </w:rPr>
      </w:r>
    </w:p>
    <w:p>
      <w:pPr>
        <w:pStyle w:val="Normal"/>
        <w:ind w:left="708" w:hanging="0"/>
        <w:jc w:val="both"/>
        <w:rPr>
          <w:rFonts w:ascii="Times New Roman" w:hAnsi="Times New Roman" w:eastAsia="Times New Roman" w:cs="Times New Roman"/>
          <w:b/>
          <w:sz w:val="24"/>
          <w:szCs w:val="24"/>
          <w:u w:val="single"/>
          <w:lang w:eastAsia="pl-PL"/>
        </w:rPr>
      </w:pPr>
      <w:r>
        <w:rPr>
          <w:rFonts w:eastAsia="Times New Roman" w:cs="Times New Roman" w:ascii="Times New Roman" w:hAnsi="Times New Roman"/>
          <w:b/>
          <w:sz w:val="24"/>
          <w:szCs w:val="24"/>
          <w:u w:val="single"/>
          <w:lang w:eastAsia="pl-PL"/>
        </w:rPr>
        <w:t>Pytanie nr 2 – dotyczące zwiększenia środków na budowę ścieżki rowerowej (Luboński Budżet Obywatelski)</w:t>
      </w:r>
    </w:p>
    <w:p>
      <w:pPr>
        <w:pStyle w:val="NormalWeb"/>
        <w:tabs>
          <w:tab w:val="clear" w:pos="708"/>
          <w:tab w:val="left" w:pos="3969" w:leader="none"/>
        </w:tabs>
        <w:spacing w:lineRule="auto" w:line="276" w:before="280" w:after="280"/>
        <w:ind w:left="708" w:hanging="0"/>
        <w:jc w:val="both"/>
        <w:rPr/>
      </w:pPr>
      <w:r>
        <w:rPr/>
        <w:t xml:space="preserve">Radny </w:t>
      </w:r>
      <w:r>
        <w:rPr>
          <w:rStyle w:val="Strong"/>
          <w:b w:val="false"/>
        </w:rPr>
        <w:t>Konrad Dominiak</w:t>
      </w:r>
      <w:r>
        <w:rPr/>
        <w:t xml:space="preserve"> zapytał o zasadność zwiększenia środków na realizację zadania polegającego na </w:t>
      </w:r>
      <w:r>
        <w:rPr>
          <w:rStyle w:val="Strong"/>
          <w:b w:val="false"/>
        </w:rPr>
        <w:t>budowie ścieżki rowerowej w ramach Lubońskiego Budżetu Obywatelskiego</w:t>
      </w:r>
      <w:r>
        <w:rPr/>
        <w:t xml:space="preserve">. Zwrócił uwagę, że projekt ten uległ opóźnieniu ze względu na konieczność uzgodnień z Generalną Dyrekcją Dróg Krajowych i Autostrad, o czym była mowa na posiedzeniu Komisji Infrastruktury. Dopytywał, </w:t>
      </w:r>
      <w:r>
        <w:rPr>
          <w:rStyle w:val="Strong"/>
          <w:b w:val="false"/>
        </w:rPr>
        <w:t>czy dodatkowe 2.500 zł</w:t>
      </w:r>
      <w:r>
        <w:rPr/>
        <w:t xml:space="preserve">, ujęte w uchwale budżetowej, wynika z pojawienia się </w:t>
      </w:r>
      <w:r>
        <w:rPr>
          <w:rStyle w:val="Strong"/>
          <w:b w:val="false"/>
        </w:rPr>
        <w:t xml:space="preserve">nowych prac dokumentacyjnych </w:t>
        <w:br/>
        <w:t>lub innej zmiany zakresu robót</w:t>
      </w:r>
      <w:r>
        <w:rPr/>
        <w:t>.</w:t>
      </w:r>
    </w:p>
    <w:p>
      <w:pPr>
        <w:pStyle w:val="NormalWeb"/>
        <w:tabs>
          <w:tab w:val="clear" w:pos="708"/>
          <w:tab w:val="left" w:pos="3969" w:leader="none"/>
        </w:tabs>
        <w:spacing w:lineRule="auto" w:line="276" w:before="280" w:after="280"/>
        <w:ind w:left="708" w:hanging="0"/>
        <w:jc w:val="both"/>
        <w:rPr/>
      </w:pPr>
      <w:r>
        <w:rPr>
          <w:rStyle w:val="Strong"/>
          <w:b w:val="false"/>
        </w:rPr>
        <w:t>Skarbnik Miasta Mirosław Stromczyński</w:t>
      </w:r>
      <w:r>
        <w:rPr/>
        <w:t xml:space="preserve"> wyjaśnił, że zgodnie z informacją przekazaną przez właściwy wydział merytoryczny, </w:t>
      </w:r>
      <w:r>
        <w:rPr>
          <w:rStyle w:val="Strong"/>
          <w:b w:val="false"/>
        </w:rPr>
        <w:t xml:space="preserve">zwiększenie dotyczy kosztów związanych </w:t>
        <w:br/>
        <w:t>z usługą inspektora nadzoru inwestorskiego</w:t>
      </w:r>
      <w:r>
        <w:rPr/>
        <w:t>, która okazała się konieczna dla realizacji zadania.</w:t>
      </w:r>
    </w:p>
    <w:p>
      <w:pPr>
        <w:pStyle w:val="Normal"/>
        <w:ind w:left="708" w:hanging="0"/>
        <w:rPr>
          <w:rStyle w:val="Strong"/>
          <w:rFonts w:ascii="Times New Roman" w:hAnsi="Times New Roman" w:eastAsia="Times New Roman" w:cs="Times New Roman"/>
          <w:sz w:val="24"/>
          <w:szCs w:val="24"/>
          <w:u w:val="single"/>
          <w:lang w:eastAsia="pl-PL"/>
        </w:rPr>
      </w:pPr>
      <w:r>
        <w:rPr>
          <w:rStyle w:val="Strong"/>
          <w:rFonts w:eastAsia="Times New Roman" w:cs="Times New Roman" w:ascii="Times New Roman" w:hAnsi="Times New Roman"/>
          <w:sz w:val="24"/>
          <w:szCs w:val="24"/>
          <w:u w:val="single"/>
          <w:lang w:eastAsia="pl-PL"/>
        </w:rPr>
        <w:t>Pytanie nr 3 – dotyczące wynagrodzenia za otwieranie i zamykanie boisk i placu zabaw</w:t>
      </w:r>
    </w:p>
    <w:p>
      <w:pPr>
        <w:pStyle w:val="NormalWeb"/>
        <w:tabs>
          <w:tab w:val="clear" w:pos="708"/>
          <w:tab w:val="left" w:pos="3969" w:leader="none"/>
        </w:tabs>
        <w:spacing w:lineRule="auto" w:line="276" w:before="280" w:after="280"/>
        <w:ind w:left="708" w:hanging="0"/>
        <w:jc w:val="both"/>
        <w:rPr/>
      </w:pPr>
      <w:r>
        <w:rPr/>
        <w:t xml:space="preserve">Radny </w:t>
      </w:r>
      <w:r>
        <w:rPr>
          <w:rStyle w:val="Strong"/>
          <w:b w:val="false"/>
        </w:rPr>
        <w:t>Konrad Dominiak</w:t>
      </w:r>
      <w:r>
        <w:rPr/>
        <w:t xml:space="preserve"> zwrócił uwagę na zapis w uchwale dotyczący zwiększenia wydatków w dziale </w:t>
      </w:r>
      <w:r>
        <w:rPr>
          <w:rStyle w:val="Strong"/>
          <w:b w:val="false"/>
        </w:rPr>
        <w:t>926 – Kultura Fizyczna</w:t>
      </w:r>
      <w:r>
        <w:rPr/>
        <w:t xml:space="preserve">, w rozdziale dotyczącym wynagrodzeń </w:t>
        <w:br/>
        <w:t xml:space="preserve">i składek, o kwotę </w:t>
      </w:r>
      <w:r>
        <w:rPr>
          <w:rStyle w:val="Strong"/>
          <w:b w:val="false"/>
        </w:rPr>
        <w:t>10.130 zł</w:t>
      </w:r>
      <w:r>
        <w:rPr/>
        <w:t xml:space="preserve">. Zapytał, czy środki te są przeznaczone na wynagrodzenie dla osoby, która w </w:t>
      </w:r>
      <w:r>
        <w:rPr>
          <w:rStyle w:val="Strong"/>
          <w:b w:val="false"/>
        </w:rPr>
        <w:t>weekendy i święta</w:t>
      </w:r>
      <w:r>
        <w:rPr/>
        <w:t xml:space="preserve"> będzie otwierać i zamykać </w:t>
      </w:r>
      <w:r>
        <w:rPr>
          <w:rStyle w:val="Strong"/>
          <w:b w:val="false"/>
        </w:rPr>
        <w:t xml:space="preserve">boisko </w:t>
        <w:br/>
        <w:t>przy ul. Konarzewskiego oraz plac zabaw przy ul. Jaśminowej</w:t>
      </w:r>
      <w:r>
        <w:rPr/>
        <w:t>, oraz czy osoba ta będzie zatrudniona bezpośrednio przez miasto.</w:t>
      </w:r>
    </w:p>
    <w:p>
      <w:pPr>
        <w:pStyle w:val="NormalWeb"/>
        <w:tabs>
          <w:tab w:val="clear" w:pos="708"/>
          <w:tab w:val="left" w:pos="3969" w:leader="none"/>
        </w:tabs>
        <w:spacing w:lineRule="auto" w:line="276" w:before="280" w:after="280"/>
        <w:ind w:left="708" w:hanging="0"/>
        <w:jc w:val="both"/>
        <w:rPr/>
      </w:pPr>
      <w:r>
        <w:rPr>
          <w:rStyle w:val="Strong"/>
          <w:b w:val="false"/>
        </w:rPr>
        <w:t>Skarbnik Miasta</w:t>
      </w:r>
      <w:r>
        <w:rPr/>
        <w:t xml:space="preserve"> oraz </w:t>
      </w:r>
      <w:r>
        <w:rPr>
          <w:rStyle w:val="Strong"/>
          <w:b w:val="false"/>
        </w:rPr>
        <w:t>Burmistrz Małgorzata Machalska</w:t>
      </w:r>
      <w:r>
        <w:rPr/>
        <w:t xml:space="preserve"> wyjaśnili, że zadanie to zostanie zrealizowane </w:t>
      </w:r>
      <w:r>
        <w:rPr>
          <w:rStyle w:val="Strong"/>
          <w:b w:val="false"/>
        </w:rPr>
        <w:t>w ramach umowy zlecenia</w:t>
      </w:r>
      <w:r>
        <w:rPr/>
        <w:t xml:space="preserve"> zawartej przez miasto, ale nie będzie </w:t>
        <w:br/>
        <w:t xml:space="preserve">to etatowy pracownik urzędu. Będzie to osoba zatrudniona wyłącznie do tego celu, a nie ktoś, kto już obecnie wykonuje inne zadania dla miasta. Nie jest to również zadanie </w:t>
      </w:r>
      <w:r>
        <w:rPr>
          <w:rStyle w:val="Strong"/>
          <w:b w:val="false"/>
        </w:rPr>
        <w:t>Straży Miejskiej</w:t>
      </w:r>
      <w:r>
        <w:rPr/>
        <w:t>, ponieważ straż nie pracuje w niedziele i święta – a właśnie wtedy konieczne jest otwieranie i zamykanie obiektów.</w:t>
      </w:r>
    </w:p>
    <w:p>
      <w:pPr>
        <w:pStyle w:val="NormalWeb"/>
        <w:tabs>
          <w:tab w:val="clear" w:pos="708"/>
          <w:tab w:val="left" w:pos="3969" w:leader="none"/>
        </w:tabs>
        <w:spacing w:lineRule="auto" w:line="276" w:before="280" w:after="280"/>
        <w:ind w:left="708" w:hanging="0"/>
        <w:jc w:val="both"/>
        <w:rPr/>
      </w:pPr>
      <w:r>
        <w:rPr/>
        <w:t xml:space="preserve">W dyskusji zwrócono uwagę, że chociaż zadanie to wydaje się proste, to jego systematyczność i wymogi czasowe (święta, niedziele, konkretne godziny) powodują, że </w:t>
      </w:r>
      <w:r>
        <w:rPr>
          <w:rStyle w:val="Strong"/>
          <w:b w:val="false"/>
        </w:rPr>
        <w:t>nie każdy może się go podjąć</w:t>
      </w:r>
      <w:r>
        <w:rPr/>
        <w:t xml:space="preserve">. Radni zasugerowali, że osoba mieszkająca w pobliżu mogłaby realizować to w ramach dodatkowego zajęcia. Wskazano jednak, </w:t>
        <w:br/>
        <w:t xml:space="preserve">że </w:t>
      </w:r>
      <w:r>
        <w:rPr>
          <w:rStyle w:val="Strong"/>
          <w:b w:val="false"/>
        </w:rPr>
        <w:t>ul. Konarzewskiego i ul. Jaśminowa znajdują się w znacznej odległości od siebie</w:t>
      </w:r>
      <w:r>
        <w:rPr/>
        <w:t>.</w:t>
      </w:r>
    </w:p>
    <w:p>
      <w:pPr>
        <w:pStyle w:val="NormalWeb"/>
        <w:tabs>
          <w:tab w:val="clear" w:pos="708"/>
          <w:tab w:val="left" w:pos="3969" w:leader="none"/>
        </w:tabs>
        <w:spacing w:lineRule="auto" w:line="276" w:before="280" w:after="280"/>
        <w:ind w:left="708" w:hanging="0"/>
        <w:jc w:val="both"/>
        <w:rPr/>
      </w:pPr>
      <w:r>
        <w:rPr>
          <w:rStyle w:val="Strong"/>
          <w:b w:val="false"/>
        </w:rPr>
        <w:t>Burmistrz Małgorzata Machalska</w:t>
      </w:r>
      <w:r>
        <w:rPr/>
        <w:t xml:space="preserve"> przyznała, że jest to część </w:t>
      </w:r>
      <w:r>
        <w:rPr>
          <w:rStyle w:val="Strong"/>
          <w:b w:val="false"/>
        </w:rPr>
        <w:t>szerszego problemu</w:t>
      </w:r>
      <w:r>
        <w:rPr/>
        <w:t xml:space="preserve">, </w:t>
        <w:br/>
        <w:t xml:space="preserve">z jakim boryka się miasto – potrzeby zapewnienia czystości i porządku </w:t>
        <w:br/>
        <w:t xml:space="preserve">w </w:t>
      </w:r>
      <w:r>
        <w:rPr>
          <w:rStyle w:val="Strong"/>
          <w:b w:val="false"/>
        </w:rPr>
        <w:t>newralgicznych punktach miasta</w:t>
      </w:r>
      <w:r>
        <w:rPr/>
        <w:t xml:space="preserve"> (np. </w:t>
      </w:r>
      <w:r>
        <w:rPr>
          <w:rStyle w:val="Strong"/>
          <w:b w:val="false"/>
        </w:rPr>
        <w:t>Plac Bojanowskiego</w:t>
      </w:r>
      <w:r>
        <w:rPr/>
        <w:t xml:space="preserve">, okolice kościołów, Lubonianka) w </w:t>
      </w:r>
      <w:r>
        <w:rPr>
          <w:rStyle w:val="Strong"/>
          <w:b w:val="false"/>
        </w:rPr>
        <w:t>niedzielne poranki</w:t>
      </w:r>
      <w:r>
        <w:rPr/>
        <w:t xml:space="preserve">. Podkreśliła, że poszukiwane są osoby, które będą </w:t>
        <w:br/>
        <w:t xml:space="preserve">w stanie </w:t>
      </w:r>
      <w:r>
        <w:rPr>
          <w:rStyle w:val="Strong"/>
          <w:b w:val="false"/>
        </w:rPr>
        <w:t>regularnie, co niedziela o godzinie 6:00 rano, posprzątać przestrzenie publiczne</w:t>
      </w:r>
      <w:r>
        <w:rPr/>
        <w:t xml:space="preserve">, tak aby miasto było schludne i gotowe na poranne spacery, uroczystości </w:t>
        <w:br/>
        <w:t xml:space="preserve">i wydarzenia. Zwróciła uwagę, że w praktyce </w:t>
      </w:r>
      <w:r>
        <w:rPr>
          <w:rStyle w:val="Strong"/>
          <w:b w:val="false"/>
        </w:rPr>
        <w:t>znalezienie takiej osoby nie jest łatwe</w:t>
      </w:r>
      <w:r>
        <w:rPr/>
        <w:t>, mimo że teoretycznie zadanie mogłoby być atrakcyjne np. dla emeryta.</w:t>
      </w:r>
    </w:p>
    <w:p>
      <w:pPr>
        <w:pStyle w:val="NormalWeb"/>
        <w:tabs>
          <w:tab w:val="clear" w:pos="708"/>
          <w:tab w:val="left" w:pos="3969" w:leader="none"/>
        </w:tabs>
        <w:spacing w:lineRule="auto" w:line="276" w:before="280" w:after="280"/>
        <w:ind w:left="708" w:hanging="0"/>
        <w:jc w:val="both"/>
        <w:rPr/>
      </w:pPr>
      <w:r>
        <w:rPr/>
        <w:t xml:space="preserve">Radny </w:t>
      </w:r>
      <w:r>
        <w:rPr>
          <w:rStyle w:val="Strong"/>
          <w:b w:val="false"/>
        </w:rPr>
        <w:t>Maciej Różański</w:t>
      </w:r>
      <w:r>
        <w:rPr/>
        <w:t xml:space="preserve"> zasugerował możliwość zastosowania </w:t>
      </w:r>
      <w:r>
        <w:rPr>
          <w:rStyle w:val="Strong"/>
          <w:b w:val="false"/>
        </w:rPr>
        <w:t>automatyzacji</w:t>
      </w:r>
      <w:r>
        <w:rPr/>
        <w:t xml:space="preserve">, </w:t>
        <w:br/>
        <w:t xml:space="preserve">np. poprzez montaż systemów, które otwierałyby i zamykały obiekty automatycznie </w:t>
        <w:br/>
        <w:t xml:space="preserve">– </w:t>
      </w:r>
      <w:r>
        <w:rPr>
          <w:rStyle w:val="Strong"/>
          <w:b w:val="false"/>
        </w:rPr>
        <w:t>zgodnie z harmonogramem lub przy wsparciu monitoringu wizyjnego</w:t>
      </w:r>
      <w:r>
        <w:rPr/>
        <w:t xml:space="preserve">. Wskazał, że </w:t>
      </w:r>
      <w:r>
        <w:rPr>
          <w:rStyle w:val="Strong"/>
          <w:b w:val="false"/>
        </w:rPr>
        <w:t>tego typu rozwiązania mogłyby w dłuższej perspektywie zoptymalizować koszty</w:t>
      </w:r>
      <w:r>
        <w:rPr/>
        <w:t xml:space="preserve"> oraz </w:t>
      </w:r>
      <w:r>
        <w:rPr>
          <w:rStyle w:val="Strong"/>
          <w:b w:val="false"/>
        </w:rPr>
        <w:t>poprawić efektywność zarządzania infrastrukturą miejską</w:t>
      </w:r>
      <w:r>
        <w:rPr/>
        <w:t>.</w:t>
      </w:r>
    </w:p>
    <w:p>
      <w:pPr>
        <w:pStyle w:val="NormalWeb"/>
        <w:tabs>
          <w:tab w:val="clear" w:pos="708"/>
          <w:tab w:val="left" w:pos="3969" w:leader="none"/>
        </w:tabs>
        <w:spacing w:lineRule="auto" w:line="276" w:before="280" w:after="280"/>
        <w:ind w:left="708" w:hanging="0"/>
        <w:jc w:val="both"/>
        <w:rPr/>
      </w:pPr>
      <w:r>
        <w:rPr>
          <w:rStyle w:val="Strong"/>
          <w:b w:val="false"/>
        </w:rPr>
        <w:t>Część radnych oraz Pani Burmistrz</w:t>
      </w:r>
      <w:r>
        <w:rPr/>
        <w:t xml:space="preserve"> wyraziła jednak sceptycyzm wobec tej propozycji, wskazując, że </w:t>
      </w:r>
      <w:r>
        <w:rPr>
          <w:rStyle w:val="Strong"/>
          <w:b w:val="false"/>
        </w:rPr>
        <w:t>w wielu przypadkach i tak konieczna będzie fizyczna obecność osoby</w:t>
      </w:r>
      <w:r>
        <w:rPr/>
        <w:t xml:space="preserve">, która w razie potrzeby </w:t>
      </w:r>
      <w:r>
        <w:rPr>
          <w:rStyle w:val="Strong"/>
          <w:b w:val="false"/>
        </w:rPr>
        <w:t>zainterweniuje, wyprosi użytkowników i zamknie obiekt</w:t>
      </w:r>
      <w:r>
        <w:rPr/>
        <w:t xml:space="preserve">. W ich ocenie </w:t>
      </w:r>
      <w:r>
        <w:rPr>
          <w:rStyle w:val="Strong"/>
          <w:b w:val="false"/>
        </w:rPr>
        <w:t>pełna automatyzacja może nie rozwiązać wszystkich problemów praktycznych</w:t>
      </w:r>
      <w:r>
        <w:rPr/>
        <w:t>, szczególnie w kontekście zapewnienia porządku, ciszy nocnej i bezpieczeństwa użytkowników obiektów publicznych.</w:t>
      </w:r>
    </w:p>
    <w:p>
      <w:pPr>
        <w:pStyle w:val="Normal"/>
        <w:tabs>
          <w:tab w:val="clear" w:pos="708"/>
          <w:tab w:val="left" w:pos="3969" w:leader="none"/>
        </w:tabs>
        <w:spacing w:lineRule="auto" w:line="276"/>
        <w:ind w:left="708" w:hanging="0"/>
        <w:jc w:val="both"/>
        <w:rPr>
          <w:rFonts w:ascii="Times New Roman" w:hAnsi="Times New Roman" w:cs="Times New Roman"/>
          <w:b/>
          <w:sz w:val="24"/>
          <w:szCs w:val="24"/>
          <w:u w:val="single"/>
        </w:rPr>
      </w:pPr>
      <w:r>
        <w:rPr>
          <w:rFonts w:cs="Times New Roman" w:ascii="Times New Roman" w:hAnsi="Times New Roman"/>
          <w:b/>
          <w:sz w:val="24"/>
          <w:szCs w:val="24"/>
          <w:u w:val="single"/>
        </w:rPr>
        <w:t>Pytanie nr 4 – dotyczące agregatu i remontu dachu na cmentarzu komunalnym</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Radna Monika Nawrot nawiązała do wcześniejszej dyskusji prowadzonej podczas posiedzenia Komisji Rozwoju i Infrastruktury i zapytała o szczegóły dotyczące kwoty 25.000 zł zaplanowanej na potrzeby cmentarza komunalnego – w szczególności </w:t>
        <w:br/>
        <w:t>o sposób podziału tej kwoty pomiędzy remont dachu a zakup agregatu prądotwórczego.</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Skarbnik Miasta Mirosław Stromczyński wyjaśnił, że zgodnie z aktualną informacją przekazaną przez jednostkę merytoryczną, kwota 13.000 zł zostanie przeznaczona na remont dachu, natomiast 12.000 zł na zakup agregatu. W związku z tym, że wartość agregatu przekracza 10.000 zł, zostanie on zakwalifikowany jako wydatek inwestycyjny, a pozostała część – jako wydatek bieżący.</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Radna dopytała również o dalsze kwestie związane z zasadami korzystania </w:t>
        <w:br/>
        <w:t xml:space="preserve">z infrastruktury cmentarza. Burmistrz Małgorzata Machalska wskazała, że szczegółowe informacje w tym zakresie zostaną przekazane podczas posiedzenia Komisji Rozwoju </w:t>
        <w:br/>
        <w:t>i Infrastruktury, ponieważ to właśnie tam temat wzbudził najwięcej dyskusji. Burmistrz zapewniła, że posiada te informacje i może je również przedstawić bezpośrednio, jeśli będzie taka potrzeba.</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Pytanie nr 5 – dotyczące zakupu kompensatora mocy biernej dla Szkoły Podstawowej nr 1</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Maciej Różański odniósł się do zaplanowanego w uchwale zakupu kompensatora mocy biernej dla Szkoły Podstawowej nr 1. Wyjaśnił, że nadmierny pobór mocy biernej może prowadzić do dodatkowych opłat naliczanych przez dostawcę energii, tzw. opłat za ponadumowny pobór energii biernej. Tego rodzaju koszty obciążają jednostki rozliczające się w taryfach grupy C – czyli instytucje publiczne i przedsiębiorstwa </w:t>
        <w:br/>
        <w:t>– a nie gospodarstwa domowe.</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zaznaczył, że inwestycje w kompensatory są działaniami długoterminowymi, które pozwalają skutecznie obniżyć rachunki za energię, poprawiając jednocześnie jakość parametrów energii pobieranej i oddawanej do sieci Operatora Systemu Dystrybucyjnego. Wyjaśnił, że całkowita moc pobierana przez odbiorcę to tzw. moc pozorna, będąca sumą mocy czynnej (rzeczywiście zużywanej, np. przez urządzenia) </w:t>
        <w:br/>
        <w:t>i mocy biernej (wymaganej np. do zasilania cewek lub kondensatorów), która nie jest konsumowana, lecz krąży w systemie i generuje straty. Jej nadmiar jest niekorzystny dla sieci energetycznej – zakłóca jej pracę, obciąża infrastrukturę i podnosi koszty dystrybucji. Kompensator niweluje ten efekt, "odciążając" system elektroenergetyczny.</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Różański przypomniał, że podczas jednej z komisji Dyrektor Szkoły Podstawowej nr 1 sygnalizował wyraźny problem z kosztami energii biernej i prosił </w:t>
        <w:br/>
        <w:t>o rozwiązanie tej kwestii. Dlatego zakup kompensatora wydaje się krokiem w dobrą stronę. Wskazał jednak, że warto byłoby przeanalizować rachunki za energię we wszystkich miejskich placówkach, aby sprawdzić, czy inne obiekty również nie generują niepotrzebnych opłat z tytułu poboru energii biernej. Takie dane są czytelnie wyszczególnione na fakturach, więc diagnoza nie powinna być trudna.</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Zadał również pytanie o przewidywany okres zwrotu inwestycji i wyraził ostrożną wątpliwość co do wysokości zaplanowanej kwoty (18 tys. zł), ponieważ – jego zdaniem – tego typu urządzenia bywają dostępne w niższej cenie (w przedziale 5–10 tys. zł).</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bCs/>
          <w:sz w:val="24"/>
          <w:szCs w:val="24"/>
          <w:u w:val="single"/>
          <w:lang w:eastAsia="pl-PL"/>
        </w:rPr>
      </w:pPr>
      <w:r>
        <w:rPr>
          <w:rFonts w:eastAsia="Times New Roman" w:cs="Times New Roman" w:ascii="Times New Roman" w:hAnsi="Times New Roman"/>
          <w:bCs/>
          <w:sz w:val="24"/>
          <w:szCs w:val="24"/>
          <w:u w:val="single"/>
          <w:lang w:eastAsia="pl-PL"/>
        </w:rPr>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b/>
          <w:sz w:val="24"/>
          <w:szCs w:val="24"/>
          <w:u w:val="single"/>
          <w:lang w:eastAsia="pl-PL"/>
        </w:rPr>
      </w:pPr>
      <w:r>
        <w:rPr>
          <w:rFonts w:eastAsia="Times New Roman" w:cs="Times New Roman" w:ascii="Times New Roman" w:hAnsi="Times New Roman"/>
          <w:b/>
          <w:bCs/>
          <w:sz w:val="24"/>
          <w:szCs w:val="24"/>
          <w:u w:val="single"/>
          <w:lang w:eastAsia="pl-PL"/>
        </w:rPr>
        <w:t>Pytanie nr 6 – dotyczące przywrócenia środków na przeciwdziałanie narkomani</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Radny Maciej Różański, przeglądając szczegóły uchwały budżetowej, zauważył, że w planie wydatków ponownie ujęto środki na zadania z zakresu przeciwdziałania narkomanii – w wysokości 10 tys. zł. Zwrócił uwagę, że podczas jednej z poprzednich komisji środki te zostały wyzerowane, co określił wówczas jako „wycofanie pieniędzy na narkomanię”. Wyraził zaskoczenie ich ponownym pojawieniem się w budżecie </w:t>
        <w:br/>
        <w:t>i przypomniał, że już wcześniej zwracał na to uwagę.</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odpowiedzi Skarbnik Mirosław Stromczyński wyjaśnił, że decyzja o wyzerowaniu wynikała z układu planistycznego w wydziale merytorycznym – ponieważ faktury za usługi realizowane w ramach miejskich programów profilaktyki uzależnień często dotyczą jednocześnie przeciwdziałania alkoholizmowi i narkomanii. Wydatki są więc rozliczane zbiorczo i dzielone proporcjonalnie, co utrudnia ich jednoznaczne przypisanie do konkretnej kategorii.</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Jak dodał Skarbnik, choć faktyczne rozliczenia obejmują zadania dotyczące obu obszarów, to na wniosek analityków z Wydziału Analiz Regionalnych zdecydowano się ponownie ująć środki na przeciwdziałanie narkomanii w budżecie – głównie ze względów formalnych i ewidencyjnych. Zaznaczył jednak, że przywrócenie tej kwoty nie wiąże się z nowymi działaniami, lecz jest elementem technicznym.</w:t>
      </w:r>
    </w:p>
    <w:p>
      <w:pPr>
        <w:pStyle w:val="Normal"/>
        <w:tabs>
          <w:tab w:val="clear" w:pos="708"/>
          <w:tab w:val="left" w:pos="3969"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cs="Times New Roman" w:ascii="Times New Roman" w:hAnsi="Times New Roman"/>
          <w:sz w:val="24"/>
          <w:szCs w:val="24"/>
        </w:rPr>
        <w:t>Radny Maciej Różański podsumował, że jego wcześniejsze uwagi zgłoszone podczas poprzedniego posiedzenia komisji okazały się trafione.</w:t>
      </w:r>
    </w:p>
    <w:p>
      <w:pPr>
        <w:pStyle w:val="NormalWeb"/>
        <w:tabs>
          <w:tab w:val="clear" w:pos="708"/>
          <w:tab w:val="left" w:pos="3969" w:leader="none"/>
        </w:tabs>
        <w:spacing w:lineRule="auto" w:line="276" w:before="280" w:after="280"/>
        <w:jc w:val="both"/>
        <w:rPr>
          <w:rStyle w:val="Strong"/>
        </w:rPr>
      </w:pPr>
      <w:r>
        <w:rPr/>
      </w:r>
    </w:p>
    <w:p>
      <w:pPr>
        <w:pStyle w:val="Normal"/>
        <w:tabs>
          <w:tab w:val="clear" w:pos="708"/>
          <w:tab w:val="left" w:pos="0"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ab/>
        <w:t>Głosowanie nad projektem uchwały</w:t>
      </w:r>
    </w:p>
    <w:p>
      <w:pPr>
        <w:pStyle w:val="Normal"/>
        <w:tabs>
          <w:tab w:val="clear" w:pos="708"/>
          <w:tab w:val="left" w:pos="0" w:leader="none"/>
        </w:tabs>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Po zakończeniu dyskusji i uwzględnieniu zgłoszonych autopoprawek, Przewodnicząca Komisji zarządziła głosowanie nad projektem uchwały w sprawie zmiany uchwały budżetowej Miasta Luboń na 2025 rok.</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W głosowaniu projekt uchwały wraz z autopoprawkami uzyskał pozytywną rekomendację Komisji:</w:t>
      </w:r>
    </w:p>
    <w:p>
      <w:pPr>
        <w:pStyle w:val="Normal"/>
        <w:spacing w:lineRule="auto" w:line="276" w:beforeAutospacing="1" w:afterAutospacing="1"/>
        <w:ind w:left="708" w:hanging="0"/>
        <w:jc w:val="both"/>
        <w:rPr>
          <w:rFonts w:ascii="Times New Roman" w:hAnsi="Times New Roman" w:eastAsia="Times New Roman" w:cs="Times New Roman"/>
          <w:sz w:val="24"/>
          <w:szCs w:val="24"/>
          <w:lang w:eastAsia="pl-PL"/>
        </w:rPr>
      </w:pPr>
      <w:r>
        <w:rPr>
          <w:rFonts w:eastAsia="Times New Roman" w:cs="Times New Roman" w:ascii="Times New Roman" w:hAnsi="Times New Roman"/>
          <w:b/>
          <w:sz w:val="24"/>
          <w:szCs w:val="24"/>
          <w:lang w:eastAsia="pl-PL"/>
        </w:rPr>
        <w:t xml:space="preserve">9 głosów „za” </w:t>
      </w:r>
      <w:r>
        <w:rPr>
          <w:rFonts w:eastAsia="Times New Roman" w:cs="Times New Roman" w:ascii="Times New Roman" w:hAnsi="Times New Roman"/>
          <w:sz w:val="24"/>
          <w:szCs w:val="24"/>
          <w:lang w:eastAsia="pl-PL"/>
        </w:rPr>
        <w:t>(Konrad Dominiak, Katarzyna Ekwińska, Hieronim Gawelski, Piotr Łukasz Izydorski, Jakub Przemysław Jelinski, Karolina Monika Wilczyńska-Kąkol, Teresa Zygmanowska, Monika Izabela Nawrot, Elżbieta Zapłata Szwedziak)</w:t>
      </w:r>
    </w:p>
    <w:p>
      <w:pPr>
        <w:pStyle w:val="Normal"/>
        <w:spacing w:lineRule="auto" w:line="276" w:beforeAutospacing="1" w:afterAutospacing="1"/>
        <w:ind w:left="708" w:hanging="0"/>
        <w:jc w:val="both"/>
        <w:rPr>
          <w:rFonts w:ascii="Times New Roman" w:hAnsi="Times New Roman" w:eastAsia="Times New Roman" w:cs="Times New Roman"/>
          <w:b/>
          <w:sz w:val="24"/>
          <w:szCs w:val="24"/>
          <w:lang w:eastAsia="pl-PL"/>
        </w:rPr>
      </w:pPr>
      <w:r>
        <w:rPr>
          <w:rFonts w:eastAsia="Times New Roman" w:cs="Times New Roman" w:ascii="Times New Roman" w:hAnsi="Times New Roman"/>
          <w:b/>
          <w:sz w:val="24"/>
          <w:szCs w:val="24"/>
          <w:lang w:eastAsia="pl-PL"/>
        </w:rPr>
        <w:t xml:space="preserve">1 głos wstrzymujący się </w:t>
      </w:r>
      <w:r>
        <w:rPr>
          <w:rFonts w:eastAsia="Times New Roman" w:cs="Times New Roman" w:ascii="Times New Roman" w:hAnsi="Times New Roman"/>
          <w:sz w:val="24"/>
          <w:szCs w:val="24"/>
          <w:lang w:eastAsia="pl-PL"/>
        </w:rPr>
        <w:t>(Maciej Różański).</w:t>
      </w:r>
    </w:p>
    <w:p>
      <w:pPr>
        <w:pStyle w:val="Normal"/>
        <w:tabs>
          <w:tab w:val="clear" w:pos="708"/>
          <w:tab w:val="left" w:pos="3969"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Standard"/>
        <w:tabs>
          <w:tab w:val="clear" w:pos="708"/>
          <w:tab w:val="left" w:pos="3969" w:leader="none"/>
        </w:tabs>
        <w:spacing w:lineRule="auto" w:line="276"/>
        <w:jc w:val="both"/>
        <w:rPr>
          <w:rFonts w:eastAsia="Times New Roman" w:cs="Times New Roman"/>
          <w:b/>
          <w:kern w:val="0"/>
          <w:u w:val="single"/>
          <w:lang w:val="pl-PL" w:eastAsia="pl-PL" w:bidi="ar-SA"/>
        </w:rPr>
      </w:pPr>
      <w:r>
        <w:rPr>
          <w:rFonts w:eastAsia="Times New Roman" w:cs="Times New Roman"/>
          <w:b/>
          <w:u w:val="single"/>
          <w:lang w:eastAsia="pl-PL"/>
        </w:rPr>
        <w:t xml:space="preserve">3. </w:t>
      </w:r>
      <w:r>
        <w:rPr>
          <w:rFonts w:eastAsia="Times New Roman" w:cs="Times New Roman"/>
          <w:b/>
          <w:kern w:val="0"/>
          <w:u w:val="single"/>
          <w:lang w:val="pl-PL" w:eastAsia="pl-PL" w:bidi="ar-SA"/>
        </w:rPr>
        <w:t>Opiniowanie projektu uchwały w sprawie zmiany Wieloletniej Prognozy Finansowej Miasta Luboń na lata 2025–2044</w:t>
      </w:r>
    </w:p>
    <w:p>
      <w:pPr>
        <w:pStyle w:val="Normal"/>
        <w:tabs>
          <w:tab w:val="clear" w:pos="708"/>
          <w:tab w:val="left" w:pos="3969" w:leader="none"/>
        </w:tabs>
        <w:spacing w:lineRule="auto" w:line="276"/>
        <w:jc w:val="both"/>
        <w:rPr>
          <w:rFonts w:ascii="Times New Roman" w:hAnsi="Times New Roman" w:eastAsia="Times New Roman" w:cs="Times New Roman"/>
          <w:b/>
          <w:sz w:val="24"/>
          <w:szCs w:val="24"/>
          <w:u w:val="single"/>
          <w:lang w:eastAsia="pl-PL"/>
        </w:rPr>
      </w:pPr>
      <w:r>
        <w:rPr>
          <w:rFonts w:eastAsia="Times New Roman" w:cs="Times New Roman" w:ascii="Times New Roman" w:hAnsi="Times New Roman"/>
          <w:b/>
          <w:sz w:val="24"/>
          <w:szCs w:val="24"/>
          <w:u w:val="single"/>
          <w:lang w:eastAsia="pl-PL"/>
        </w:rPr>
      </w:r>
    </w:p>
    <w:p>
      <w:pPr>
        <w:pStyle w:val="NormalWeb"/>
        <w:tabs>
          <w:tab w:val="clear" w:pos="708"/>
          <w:tab w:val="left" w:pos="3969" w:leader="none"/>
        </w:tabs>
        <w:spacing w:lineRule="auto" w:line="276" w:before="280" w:after="280"/>
        <w:jc w:val="both"/>
        <w:rPr/>
      </w:pPr>
      <w:r>
        <w:rPr/>
        <w:t xml:space="preserve">W kolejnym punkcie obrad Komisji Budżetu i Finansów ominiowała projekt uchwały w sprawie zmiany Wieloletniej Prognozy Finansowej Miasta Luboń na lata 2025–2040. </w:t>
        <w:br/>
        <w:t>Jak wyjaśnił Skarbnik Miasta, zmiany mają charakter porządkowy i wynikają bezpośrednio ze zmian wprowadzonych do uchwały budżetowej omówionej w poprzednim punkcie posiedzenia.</w:t>
      </w:r>
    </w:p>
    <w:p>
      <w:pPr>
        <w:pStyle w:val="NormalWeb"/>
        <w:tabs>
          <w:tab w:val="clear" w:pos="708"/>
          <w:tab w:val="left" w:pos="3969" w:leader="none"/>
        </w:tabs>
        <w:spacing w:lineRule="auto" w:line="276" w:before="280" w:after="280"/>
        <w:jc w:val="both"/>
        <w:rPr/>
      </w:pPr>
      <w:r>
        <w:rPr/>
        <w:t xml:space="preserve">W szczególności w załączniku nr 2 dokonano aktualizacji dotyczących przedsięwzięć wieloletnich – wprowadzono zmiany obejmujące te zadania, które podlegały korektom </w:t>
        <w:br/>
        <w:t xml:space="preserve">w uchwale budżetowej. Dodatkowo wprowadzono nowe limity wydatków dla przedsięwzięcia pn. </w:t>
      </w:r>
      <w:r>
        <w:rPr>
          <w:rStyle w:val="Strong"/>
        </w:rPr>
        <w:t>„Opracowanie miejskiego planu adaptacji do zmian klimatu”</w:t>
      </w:r>
      <w:r>
        <w:rPr/>
        <w:t xml:space="preserve">, obejmujące </w:t>
        <w:br/>
        <w:t>lata 2026–2027.</w:t>
      </w:r>
    </w:p>
    <w:p>
      <w:pPr>
        <w:pStyle w:val="NormalWeb"/>
        <w:tabs>
          <w:tab w:val="clear" w:pos="708"/>
          <w:tab w:val="left" w:pos="3969" w:leader="none"/>
        </w:tabs>
        <w:spacing w:lineRule="auto" w:line="276" w:before="280" w:after="280"/>
        <w:jc w:val="both"/>
        <w:rPr/>
      </w:pPr>
      <w:r>
        <w:rPr/>
        <w:t xml:space="preserve">Zaproponowano również autopoprawkę wynikającą z równoległej autopoprawki do budżetu </w:t>
        <w:br/>
        <w:t xml:space="preserve">– przewidującą zwiększenie planu dochodów ogółem o </w:t>
      </w:r>
      <w:r>
        <w:rPr>
          <w:rStyle w:val="Strong"/>
        </w:rPr>
        <w:t>96 500,00 zł</w:t>
      </w:r>
      <w:r>
        <w:rPr/>
        <w:t xml:space="preserve"> (dochody bieżące) oraz stosowne zwiększenie wydatków: </w:t>
      </w:r>
      <w:r>
        <w:rPr>
          <w:rStyle w:val="Strong"/>
        </w:rPr>
        <w:t>wydatki bieżące o 80 000,00 zł</w:t>
      </w:r>
      <w:r>
        <w:rPr/>
        <w:t xml:space="preserve">, a </w:t>
      </w:r>
      <w:r>
        <w:rPr>
          <w:rStyle w:val="Strong"/>
        </w:rPr>
        <w:t xml:space="preserve">wydatki majątkowe </w:t>
        <w:br/>
        <w:t>o 12 000,00 zł</w:t>
      </w:r>
      <w:r>
        <w:rPr/>
        <w:t>.</w:t>
      </w:r>
    </w:p>
    <w:p>
      <w:pPr>
        <w:pStyle w:val="NormalWeb"/>
        <w:tabs>
          <w:tab w:val="clear" w:pos="708"/>
          <w:tab w:val="left" w:pos="3969" w:leader="none"/>
        </w:tabs>
        <w:spacing w:lineRule="auto" w:line="276" w:before="280" w:after="280"/>
        <w:jc w:val="both"/>
        <w:rPr>
          <w:rStyle w:val="Strong"/>
        </w:rPr>
      </w:pPr>
      <w:r>
        <w:rPr/>
      </w:r>
    </w:p>
    <w:p>
      <w:pPr>
        <w:pStyle w:val="NormalWeb"/>
        <w:tabs>
          <w:tab w:val="clear" w:pos="708"/>
          <w:tab w:val="left" w:pos="3969" w:leader="none"/>
        </w:tabs>
        <w:spacing w:lineRule="auto" w:line="276" w:before="280" w:after="280"/>
        <w:jc w:val="both"/>
        <w:rPr>
          <w:rStyle w:val="Strong"/>
        </w:rPr>
      </w:pPr>
      <w:r>
        <w:rPr/>
      </w:r>
    </w:p>
    <w:p>
      <w:pPr>
        <w:pStyle w:val="NormalWeb"/>
        <w:tabs>
          <w:tab w:val="clear" w:pos="708"/>
          <w:tab w:val="left" w:pos="3969" w:leader="none"/>
        </w:tabs>
        <w:spacing w:lineRule="auto" w:line="276" w:before="280" w:after="280"/>
        <w:jc w:val="both"/>
        <w:rPr>
          <w:rStyle w:val="Strong"/>
        </w:rPr>
      </w:pPr>
      <w:r>
        <w:rPr/>
      </w:r>
    </w:p>
    <w:p>
      <w:pPr>
        <w:pStyle w:val="NormalWeb"/>
        <w:tabs>
          <w:tab w:val="clear" w:pos="708"/>
          <w:tab w:val="left" w:pos="3969" w:leader="none"/>
        </w:tabs>
        <w:spacing w:lineRule="auto" w:line="276" w:before="280" w:after="280"/>
        <w:jc w:val="both"/>
        <w:rPr/>
      </w:pPr>
      <w:r>
        <w:rPr>
          <w:rStyle w:val="Strong"/>
        </w:rPr>
        <w:t xml:space="preserve">W głosowaniu nad projektem uchwały w sprawie zmiany WPF na lata 2025–2040 </w:t>
      </w:r>
    </w:p>
    <w:p>
      <w:pPr>
        <w:pStyle w:val="ListParagraph"/>
        <w:numPr>
          <w:ilvl w:val="0"/>
          <w:numId w:val="8"/>
        </w:numPr>
        <w:spacing w:lineRule="auto" w:line="276" w:beforeAutospacing="1" w:afterAutospacing="1"/>
        <w:contextualSpacing/>
        <w:jc w:val="both"/>
        <w:rPr>
          <w:rFonts w:ascii="Times New Roman" w:hAnsi="Times New Roman" w:eastAsia="Times New Roman" w:cs="Times New Roman"/>
          <w:sz w:val="24"/>
          <w:szCs w:val="24"/>
          <w:lang w:eastAsia="pl-PL"/>
        </w:rPr>
      </w:pPr>
      <w:r>
        <w:rPr>
          <w:rFonts w:cs="Times New Roman" w:ascii="Times New Roman" w:hAnsi="Times New Roman"/>
          <w:sz w:val="24"/>
          <w:szCs w:val="24"/>
        </w:rPr>
        <w:t xml:space="preserve">7 osób było </w:t>
      </w:r>
      <w:r>
        <w:rPr>
          <w:rStyle w:val="Strong"/>
          <w:rFonts w:cs="Times New Roman" w:ascii="Times New Roman" w:hAnsi="Times New Roman"/>
          <w:sz w:val="24"/>
          <w:szCs w:val="24"/>
        </w:rPr>
        <w:t>ZA</w:t>
      </w:r>
      <w:r>
        <w:rPr/>
        <w:t xml:space="preserve"> </w:t>
      </w:r>
      <w:r>
        <w:rPr>
          <w:rFonts w:eastAsia="Times New Roman" w:cs="Times New Roman" w:ascii="Times New Roman" w:hAnsi="Times New Roman"/>
          <w:sz w:val="24"/>
          <w:szCs w:val="24"/>
          <w:lang w:eastAsia="pl-PL"/>
        </w:rPr>
        <w:t>(Konrad Dominiak, Katarzyna Ekwińska, Hieronim Gawelski, Piotr Łukasz Izydorski, Jakub Przemysław Jelinski, Karolina Monika Wilczyńska-Kąkol, Teresa Zygmanowska)</w:t>
      </w:r>
    </w:p>
    <w:p>
      <w:pPr>
        <w:pStyle w:val="NormalWeb"/>
        <w:numPr>
          <w:ilvl w:val="0"/>
          <w:numId w:val="4"/>
        </w:numPr>
        <w:tabs>
          <w:tab w:val="clear" w:pos="708"/>
          <w:tab w:val="left" w:pos="3969" w:leader="none"/>
        </w:tabs>
        <w:spacing w:lineRule="auto" w:line="276" w:before="280" w:after="280"/>
        <w:jc w:val="both"/>
        <w:rPr/>
      </w:pPr>
      <w:r>
        <w:rPr/>
        <w:t xml:space="preserve">3 osoby </w:t>
      </w:r>
      <w:r>
        <w:rPr>
          <w:rStyle w:val="Strong"/>
        </w:rPr>
        <w:t>wstrzymały się od głosu</w:t>
      </w:r>
      <w:r>
        <w:rPr/>
        <w:t xml:space="preserve"> (Monika Nawrot, Maciej Różański, Elżbieta Zapłata- Szwedziak)</w:t>
      </w:r>
    </w:p>
    <w:p>
      <w:pPr>
        <w:pStyle w:val="Standard"/>
        <w:tabs>
          <w:tab w:val="clear" w:pos="708"/>
          <w:tab w:val="left" w:pos="3969" w:leader="none"/>
        </w:tabs>
        <w:spacing w:lineRule="auto" w:line="276"/>
        <w:jc w:val="both"/>
        <w:rPr>
          <w:rFonts w:eastAsia="Times New Roman" w:cs="Times New Roman"/>
          <w:b/>
          <w:kern w:val="0"/>
          <w:u w:val="single"/>
          <w:lang w:val="pl-PL" w:eastAsia="pl-PL" w:bidi="ar-SA"/>
        </w:rPr>
      </w:pPr>
      <w:r>
        <w:rPr>
          <w:rFonts w:eastAsia="Times New Roman" w:cs="Times New Roman"/>
          <w:b/>
          <w:u w:val="single"/>
          <w:lang w:val="pl-PL" w:eastAsia="pl-PL"/>
        </w:rPr>
        <w:t xml:space="preserve">4. </w:t>
      </w:r>
      <w:r>
        <w:rPr>
          <w:rStyle w:val="Strong"/>
          <w:rFonts w:cs="Times New Roman"/>
          <w:u w:val="single"/>
          <w:lang w:val="pl-PL"/>
        </w:rPr>
        <w:t>Opinia Komisji Budżetu i Finansów w sprawie sprawozdania finansowego Miasta Luboń za 2024 rok</w:t>
      </w:r>
    </w:p>
    <w:p>
      <w:pPr>
        <w:pStyle w:val="Normal"/>
        <w:tabs>
          <w:tab w:val="clear" w:pos="708"/>
          <w:tab w:val="left" w:pos="3969"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Web"/>
        <w:tabs>
          <w:tab w:val="clear" w:pos="708"/>
          <w:tab w:val="left" w:pos="3969" w:leader="none"/>
        </w:tabs>
        <w:spacing w:lineRule="auto" w:line="276" w:before="280" w:after="280"/>
        <w:jc w:val="both"/>
        <w:rPr/>
      </w:pPr>
      <w:r>
        <w:rPr/>
        <w:t xml:space="preserve">Przewodnicząca Komisji, radna Katarzyna Ekwińska, poinformowała, że po zakończeniu części dotyczącej opiniowania projektów uchwał, Komisja przystępuje do wyrażenia opinii </w:t>
        <w:br/>
        <w:t>w sprawie sprawozdania finansowego Miasta Luboń za rok 2024.</w:t>
      </w:r>
    </w:p>
    <w:p>
      <w:pPr>
        <w:pStyle w:val="NormalWeb"/>
        <w:tabs>
          <w:tab w:val="clear" w:pos="708"/>
          <w:tab w:val="left" w:pos="3969" w:leader="none"/>
        </w:tabs>
        <w:spacing w:lineRule="auto" w:line="276" w:before="280" w:after="280"/>
        <w:jc w:val="both"/>
        <w:rPr/>
      </w:pPr>
      <w:r>
        <w:rPr/>
        <w:t>Zaznaczyła, że do momentu rozpoczęcia posiedzenia nie wpłynęły żadne pytania dotyczące przedmiotowego sprawozdania. Jednocześnie przypomniała, że zgodnie z wcześniejszymi ustaleniami, radni mają jeszcze możliwość skierowania ewentualnych pytań do Pani Burmistrz.</w:t>
      </w:r>
    </w:p>
    <w:p>
      <w:pPr>
        <w:pStyle w:val="NormalWeb"/>
        <w:tabs>
          <w:tab w:val="clear" w:pos="708"/>
          <w:tab w:val="left" w:pos="3969" w:leader="none"/>
        </w:tabs>
        <w:spacing w:lineRule="auto" w:line="276" w:before="280" w:after="280"/>
        <w:jc w:val="both"/>
        <w:rPr/>
      </w:pPr>
      <w:r>
        <w:rPr/>
        <w:t>W związku z brakiem zgłoszeń, Przewodnicząca zarządziła głosowanie nad wyrażeniem pozytywnej opinii do sprawozdania finansowego za 2024 rok.</w:t>
      </w:r>
    </w:p>
    <w:p>
      <w:pPr>
        <w:pStyle w:val="NormalWeb"/>
        <w:tabs>
          <w:tab w:val="clear" w:pos="708"/>
          <w:tab w:val="left" w:pos="3969" w:leader="none"/>
        </w:tabs>
        <w:spacing w:lineRule="auto" w:line="276" w:before="280" w:after="280"/>
        <w:jc w:val="both"/>
        <w:rPr/>
      </w:pPr>
      <w:r>
        <w:rPr>
          <w:rStyle w:val="Strong"/>
        </w:rPr>
        <w:t>W wyniku głosowania</w:t>
      </w:r>
      <w:r>
        <w:rPr/>
        <w:t>:</w:t>
      </w:r>
    </w:p>
    <w:p>
      <w:pPr>
        <w:pStyle w:val="NormalWeb"/>
        <w:numPr>
          <w:ilvl w:val="0"/>
          <w:numId w:val="4"/>
        </w:numPr>
        <w:tabs>
          <w:tab w:val="clear" w:pos="708"/>
          <w:tab w:val="left" w:pos="3969" w:leader="none"/>
        </w:tabs>
        <w:spacing w:lineRule="auto" w:line="276" w:before="280" w:after="0"/>
        <w:jc w:val="both"/>
        <w:rPr/>
      </w:pPr>
      <w:r>
        <w:rPr/>
        <w:t xml:space="preserve">7 członków Komisji opowiedziało się </w:t>
      </w:r>
      <w:r>
        <w:rPr>
          <w:rStyle w:val="Strong"/>
        </w:rPr>
        <w:t xml:space="preserve">za pozytywną opinią </w:t>
      </w:r>
      <w:r>
        <w:rPr/>
        <w:t>(Konrad Dominiak, Katarzyna Ekwińska, Hieronim Gawelski, Piotr Łukasz Izydorski, Jakub Przemysław Jelinski, Karolina Monika Wilczyńska-Kąkol, Teresa Zygmanowska),</w:t>
      </w:r>
    </w:p>
    <w:p>
      <w:pPr>
        <w:pStyle w:val="NormalWeb"/>
        <w:numPr>
          <w:ilvl w:val="0"/>
          <w:numId w:val="4"/>
        </w:numPr>
        <w:tabs>
          <w:tab w:val="clear" w:pos="708"/>
          <w:tab w:val="left" w:pos="3969" w:leader="none"/>
        </w:tabs>
        <w:spacing w:lineRule="auto" w:line="276" w:before="0" w:after="280"/>
        <w:jc w:val="both"/>
        <w:rPr/>
      </w:pPr>
      <w:r>
        <w:rPr/>
        <w:t xml:space="preserve">3 osoby </w:t>
      </w:r>
      <w:r>
        <w:rPr>
          <w:rStyle w:val="Strong"/>
        </w:rPr>
        <w:t>wstrzymały się od głosu</w:t>
      </w:r>
      <w:r>
        <w:rPr/>
        <w:t xml:space="preserve"> (Monika Nawrot, Maciej Różański, Elżbieta Zapłata-Szwedziak)</w:t>
      </w:r>
    </w:p>
    <w:p>
      <w:pPr>
        <w:pStyle w:val="Normal"/>
        <w:tabs>
          <w:tab w:val="clear" w:pos="708"/>
          <w:tab w:val="left" w:pos="3969"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Standard"/>
        <w:tabs>
          <w:tab w:val="clear" w:pos="708"/>
          <w:tab w:val="left" w:pos="3969" w:leader="none"/>
        </w:tabs>
        <w:spacing w:lineRule="auto" w:line="276"/>
        <w:jc w:val="both"/>
        <w:rPr>
          <w:rFonts w:cs="Times New Roman"/>
          <w:u w:val="single"/>
          <w:lang w:val="pl-PL"/>
        </w:rPr>
      </w:pPr>
      <w:r>
        <w:rPr>
          <w:rFonts w:eastAsia="Times New Roman" w:cs="Times New Roman"/>
          <w:b/>
          <w:u w:val="single"/>
          <w:lang w:val="pl-PL" w:eastAsia="pl-PL"/>
        </w:rPr>
        <w:t>5.</w:t>
      </w:r>
      <w:r>
        <w:rPr>
          <w:rFonts w:eastAsia="Times New Roman" w:cs="Times New Roman"/>
          <w:u w:val="single"/>
          <w:lang w:val="pl-PL" w:eastAsia="pl-PL"/>
        </w:rPr>
        <w:t xml:space="preserve"> </w:t>
      </w:r>
      <w:r>
        <w:rPr>
          <w:rStyle w:val="Strong"/>
          <w:rFonts w:cs="Times New Roman"/>
          <w:u w:val="single"/>
          <w:lang w:val="pl-PL"/>
        </w:rPr>
        <w:t xml:space="preserve">Przyjęcie protokołu nr 10 z posiedzenia Komisji Budżetu i Finansów </w:t>
        <w:br/>
        <w:t>z dnia 12 lutego 2025 r.</w:t>
      </w:r>
    </w:p>
    <w:p>
      <w:pPr>
        <w:pStyle w:val="NormalWeb"/>
        <w:tabs>
          <w:tab w:val="clear" w:pos="708"/>
          <w:tab w:val="left" w:pos="3969" w:leader="none"/>
        </w:tabs>
        <w:spacing w:lineRule="auto" w:line="276" w:before="280" w:after="280"/>
        <w:jc w:val="both"/>
        <w:rPr/>
      </w:pPr>
      <w:r>
        <w:rPr/>
        <w:t>Przewodnicząca Komisji Katarzyna Ekwińska poinformowała, że kolejnym punktem obrad jest głosowanie nad przyjęciem protokołu nr 10 z posiedzenia Komisji, które odbyło się 12 lutego 2025 roku.</w:t>
      </w:r>
    </w:p>
    <w:p>
      <w:pPr>
        <w:pStyle w:val="NormalWeb"/>
        <w:tabs>
          <w:tab w:val="clear" w:pos="708"/>
          <w:tab w:val="left" w:pos="3969" w:leader="none"/>
        </w:tabs>
        <w:spacing w:lineRule="auto" w:line="276" w:before="280" w:after="280"/>
        <w:jc w:val="both"/>
        <w:rPr/>
      </w:pPr>
      <w:r>
        <w:rPr/>
        <w:t>W wyniku przeprowadzonego głosowania:</w:t>
      </w:r>
    </w:p>
    <w:p>
      <w:pPr>
        <w:pStyle w:val="NormalWeb"/>
        <w:numPr>
          <w:ilvl w:val="0"/>
          <w:numId w:val="5"/>
        </w:numPr>
        <w:tabs>
          <w:tab w:val="clear" w:pos="708"/>
          <w:tab w:val="left" w:pos="3969" w:leader="none"/>
        </w:tabs>
        <w:spacing w:lineRule="auto" w:line="276" w:before="280" w:after="0"/>
        <w:jc w:val="both"/>
        <w:rPr/>
      </w:pPr>
      <w:r>
        <w:rPr>
          <w:rStyle w:val="Strong"/>
        </w:rPr>
        <w:t>9 radnych zagłosowało za przyjęciem protokołu</w:t>
      </w:r>
      <w:r>
        <w:rPr/>
        <w:t xml:space="preserve"> (Konrad Dominiak, Katarzyna Ekwińska, Hieronim Gawelski, Piotr Łukasz Izydorski, Jakub Przemysław Jelinski, Karolina Monika Wilczyńska-Kąkol, Teresa Zygmanowska, Maciej Różański, Elbżieta </w:t>
        <w:br/>
        <w:t>Zapłata-Szwedziak),</w:t>
      </w:r>
    </w:p>
    <w:p>
      <w:pPr>
        <w:pStyle w:val="NormalWeb"/>
        <w:numPr>
          <w:ilvl w:val="0"/>
          <w:numId w:val="5"/>
        </w:numPr>
        <w:tabs>
          <w:tab w:val="clear" w:pos="708"/>
          <w:tab w:val="left" w:pos="3969" w:leader="none"/>
        </w:tabs>
        <w:spacing w:lineRule="auto" w:line="276" w:before="0" w:after="280"/>
        <w:jc w:val="both"/>
        <w:rPr>
          <w:rStyle w:val="Strong"/>
          <w:b w:val="false"/>
          <w:bCs w:val="false"/>
        </w:rPr>
      </w:pPr>
      <w:r>
        <w:rPr>
          <w:rStyle w:val="Strong"/>
        </w:rPr>
        <w:t>1 osoba wstrzymała się od głosu</w:t>
      </w:r>
      <w:r>
        <w:rPr/>
        <w:t xml:space="preserve"> – radna </w:t>
      </w:r>
      <w:r>
        <w:rPr>
          <w:rStyle w:val="Strong"/>
        </w:rPr>
        <w:t>Monika Nawrot</w:t>
      </w:r>
      <w:r>
        <w:rPr/>
        <w:t xml:space="preserve">, uzasadniając, że </w:t>
      </w:r>
      <w:r>
        <w:rPr>
          <w:rStyle w:val="Strong"/>
        </w:rPr>
        <w:t>nie była obecna na posiedzeniu w dniu 12 lutego 2025 r.</w:t>
      </w:r>
    </w:p>
    <w:p>
      <w:pPr>
        <w:pStyle w:val="NormalWeb"/>
        <w:tabs>
          <w:tab w:val="clear" w:pos="708"/>
          <w:tab w:val="left" w:pos="3969" w:leader="none"/>
        </w:tabs>
        <w:spacing w:lineRule="auto" w:line="276" w:before="280" w:after="280"/>
        <w:jc w:val="both"/>
        <w:rPr/>
      </w:pPr>
      <w:r>
        <w:rPr/>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u w:val="single"/>
          <w:lang w:eastAsia="pl-PL"/>
        </w:rPr>
      </w:pPr>
      <w:r>
        <w:rPr>
          <w:rFonts w:eastAsia="Times New Roman" w:cs="Times New Roman" w:ascii="Times New Roman" w:hAnsi="Times New Roman"/>
          <w:b/>
          <w:bCs/>
          <w:sz w:val="24"/>
          <w:szCs w:val="24"/>
          <w:u w:val="single"/>
          <w:lang w:eastAsia="pl-PL"/>
        </w:rPr>
        <w:t>6. Wolne głosy i wnioski</w:t>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ramach wolnych głosów i wniosków radny </w:t>
      </w:r>
      <w:r>
        <w:rPr>
          <w:rFonts w:eastAsia="Times New Roman" w:cs="Times New Roman" w:ascii="Times New Roman" w:hAnsi="Times New Roman"/>
          <w:bCs/>
          <w:sz w:val="24"/>
          <w:szCs w:val="24"/>
          <w:lang w:eastAsia="pl-PL"/>
        </w:rPr>
        <w:t>Maciej Różański</w:t>
      </w:r>
      <w:r>
        <w:rPr>
          <w:rFonts w:eastAsia="Times New Roman" w:cs="Times New Roman" w:ascii="Times New Roman" w:hAnsi="Times New Roman"/>
          <w:sz w:val="24"/>
          <w:szCs w:val="24"/>
          <w:lang w:eastAsia="pl-PL"/>
        </w:rPr>
        <w:t xml:space="preserve"> zwrócił się z prośbą </w:t>
        <w:br/>
        <w:t xml:space="preserve">o rozważenie </w:t>
      </w:r>
      <w:r>
        <w:rPr>
          <w:rFonts w:eastAsia="Times New Roman" w:cs="Times New Roman" w:ascii="Times New Roman" w:hAnsi="Times New Roman"/>
          <w:bCs/>
          <w:sz w:val="24"/>
          <w:szCs w:val="24"/>
          <w:lang w:eastAsia="pl-PL"/>
        </w:rPr>
        <w:t>zmiany godziny najbliższego posiedzenia Komisji Budżetu i Finansów</w:t>
      </w:r>
      <w:r>
        <w:rPr>
          <w:rFonts w:eastAsia="Times New Roman" w:cs="Times New Roman" w:ascii="Times New Roman" w:hAnsi="Times New Roman"/>
          <w:sz w:val="24"/>
          <w:szCs w:val="24"/>
          <w:lang w:eastAsia="pl-PL"/>
        </w:rPr>
        <w:t xml:space="preserve">, ponieważ w tym samym dniu o godz. 17:00 zaplanowano </w:t>
      </w:r>
      <w:r>
        <w:rPr>
          <w:rFonts w:eastAsia="Times New Roman" w:cs="Times New Roman" w:ascii="Times New Roman" w:hAnsi="Times New Roman"/>
          <w:bCs/>
          <w:sz w:val="24"/>
          <w:szCs w:val="24"/>
          <w:lang w:eastAsia="pl-PL"/>
        </w:rPr>
        <w:t>konsultacje społeczne dotyczące miejscowego planu zagospodarowania przestrzennego dla obszaru Żabikowo–Centrum</w:t>
      </w:r>
      <w:r>
        <w:rPr>
          <w:rFonts w:eastAsia="Times New Roman" w:cs="Times New Roman" w:ascii="Times New Roman" w:hAnsi="Times New Roman"/>
          <w:sz w:val="24"/>
          <w:szCs w:val="24"/>
          <w:lang w:eastAsia="pl-PL"/>
        </w:rPr>
        <w:t>.</w:t>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Przewodnicząca Komisji </w:t>
      </w:r>
      <w:r>
        <w:rPr>
          <w:rFonts w:eastAsia="Times New Roman" w:cs="Times New Roman" w:ascii="Times New Roman" w:hAnsi="Times New Roman"/>
          <w:bCs/>
          <w:sz w:val="24"/>
          <w:szCs w:val="24"/>
          <w:lang w:eastAsia="pl-PL"/>
        </w:rPr>
        <w:t>Katarzyna Ekwińska</w:t>
      </w:r>
      <w:r>
        <w:rPr>
          <w:rFonts w:eastAsia="Times New Roman" w:cs="Times New Roman" w:ascii="Times New Roman" w:hAnsi="Times New Roman"/>
          <w:sz w:val="24"/>
          <w:szCs w:val="24"/>
          <w:lang w:eastAsia="pl-PL"/>
        </w:rPr>
        <w:t xml:space="preserve"> wyjaśniła, że termin spotkania z </w:t>
      </w:r>
      <w:r>
        <w:rPr>
          <w:rFonts w:eastAsia="Times New Roman" w:cs="Times New Roman" w:ascii="Times New Roman" w:hAnsi="Times New Roman"/>
          <w:bCs/>
          <w:sz w:val="24"/>
          <w:szCs w:val="24"/>
          <w:lang w:eastAsia="pl-PL"/>
        </w:rPr>
        <w:t>Panią Dyrektor Szkoły Podstawowej nr 5 w Luboniu</w:t>
      </w:r>
      <w:r>
        <w:rPr>
          <w:rFonts w:eastAsia="Times New Roman" w:cs="Times New Roman" w:ascii="Times New Roman" w:hAnsi="Times New Roman"/>
          <w:sz w:val="24"/>
          <w:szCs w:val="24"/>
          <w:lang w:eastAsia="pl-PL"/>
        </w:rPr>
        <w:t xml:space="preserve"> został uzgodniony już trzy tygodnie wcześniej jako </w:t>
      </w:r>
      <w:r>
        <w:rPr>
          <w:rFonts w:eastAsia="Times New Roman" w:cs="Times New Roman" w:ascii="Times New Roman" w:hAnsi="Times New Roman"/>
          <w:bCs/>
          <w:sz w:val="24"/>
          <w:szCs w:val="24"/>
          <w:lang w:eastAsia="pl-PL"/>
        </w:rPr>
        <w:t>jedyny możliwy z dostępnych terminów</w:t>
      </w:r>
      <w:r>
        <w:rPr>
          <w:rFonts w:eastAsia="Times New Roman" w:cs="Times New Roman" w:ascii="Times New Roman" w:hAnsi="Times New Roman"/>
          <w:sz w:val="24"/>
          <w:szCs w:val="24"/>
          <w:lang w:eastAsia="pl-PL"/>
        </w:rPr>
        <w:t xml:space="preserve">, ponieważ Pani Dyrektor nie dysponowała innymi wolnymi godzinami. Zadeklarowała jednak, że </w:t>
      </w:r>
      <w:r>
        <w:rPr>
          <w:rFonts w:eastAsia="Times New Roman" w:cs="Times New Roman" w:ascii="Times New Roman" w:hAnsi="Times New Roman"/>
          <w:bCs/>
          <w:sz w:val="24"/>
          <w:szCs w:val="24"/>
          <w:lang w:eastAsia="pl-PL"/>
        </w:rPr>
        <w:t>skontaktuje się ponownie z Panią Dyrektor</w:t>
      </w:r>
      <w:r>
        <w:rPr>
          <w:rFonts w:eastAsia="Times New Roman" w:cs="Times New Roman" w:ascii="Times New Roman" w:hAnsi="Times New Roman"/>
          <w:sz w:val="24"/>
          <w:szCs w:val="24"/>
          <w:lang w:eastAsia="pl-PL"/>
        </w:rPr>
        <w:t>, by ustalić, czy możliwe byłoby przesunięcie godziny rozpoczęcia Komisji, choć zmiana dnia wydaje się mało prawdopodobna.</w:t>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W toku dyskusji padła propozycja przesunięcia posiedzenia na godzinę </w:t>
      </w:r>
      <w:r>
        <w:rPr>
          <w:rFonts w:eastAsia="Times New Roman" w:cs="Times New Roman" w:ascii="Times New Roman" w:hAnsi="Times New Roman"/>
          <w:bCs/>
          <w:sz w:val="24"/>
          <w:szCs w:val="24"/>
          <w:lang w:eastAsia="pl-PL"/>
        </w:rPr>
        <w:t>15:30</w:t>
      </w:r>
      <w:r>
        <w:rPr>
          <w:rFonts w:eastAsia="Times New Roman" w:cs="Times New Roman" w:ascii="Times New Roman" w:hAnsi="Times New Roman"/>
          <w:sz w:val="24"/>
          <w:szCs w:val="24"/>
          <w:lang w:eastAsia="pl-PL"/>
        </w:rPr>
        <w:t>, co umożliwiłoby radnym udział zarówno w Komisji, jak i w późniejszych konsultacjach społecznych. Podkreślono, że wcześniejszy termin pozwoli na spokojne przeprowadzenie posiedzenia, bez presji czasowej i ograniczania wypowiedzi przedstawicieli szkoły.</w:t>
      </w:r>
    </w:p>
    <w:p>
      <w:pPr>
        <w:pStyle w:val="Normal"/>
        <w:tabs>
          <w:tab w:val="clear" w:pos="708"/>
          <w:tab w:val="left" w:pos="3969" w:leader="none"/>
        </w:tabs>
        <w:spacing w:lineRule="auto" w:line="276" w:beforeAutospacing="1" w:afterAutospacing="1"/>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Przewodnicząca zobowiązała się, że </w:t>
      </w:r>
      <w:r>
        <w:rPr>
          <w:rFonts w:eastAsia="Times New Roman" w:cs="Times New Roman" w:ascii="Times New Roman" w:hAnsi="Times New Roman"/>
          <w:bCs/>
          <w:sz w:val="24"/>
          <w:szCs w:val="24"/>
          <w:lang w:eastAsia="pl-PL"/>
        </w:rPr>
        <w:t>następnego dnia przekaże informację zwrotną</w:t>
      </w:r>
      <w:r>
        <w:rPr>
          <w:rFonts w:eastAsia="Times New Roman" w:cs="Times New Roman" w:ascii="Times New Roman" w:hAnsi="Times New Roman"/>
          <w:sz w:val="24"/>
          <w:szCs w:val="24"/>
          <w:lang w:eastAsia="pl-PL"/>
        </w:rPr>
        <w:t xml:space="preserve"> </w:t>
        <w:br/>
        <w:t xml:space="preserve">po konsultacji z Panią Dyrektor. Wstępnie uzgodniono, że </w:t>
      </w:r>
      <w:r>
        <w:rPr>
          <w:rFonts w:eastAsia="Times New Roman" w:cs="Times New Roman" w:ascii="Times New Roman" w:hAnsi="Times New Roman"/>
          <w:bCs/>
          <w:sz w:val="24"/>
          <w:szCs w:val="24"/>
          <w:lang w:eastAsia="pl-PL"/>
        </w:rPr>
        <w:t>godzina 15:30 byłaby rozwiązaniem optymalnym</w:t>
      </w:r>
      <w:r>
        <w:rPr>
          <w:rFonts w:eastAsia="Times New Roman" w:cs="Times New Roman" w:ascii="Times New Roman" w:hAnsi="Times New Roman"/>
          <w:sz w:val="24"/>
          <w:szCs w:val="24"/>
          <w:lang w:eastAsia="pl-PL"/>
        </w:rPr>
        <w:t>, biorąc pod uwagę inne obowiązki radnych i harmonogram wydarzeń zaplanowanych na ten dzień.</w:t>
      </w:r>
    </w:p>
    <w:p>
      <w:pPr>
        <w:pStyle w:val="Normal"/>
        <w:widowControl w:val="false"/>
        <w:tabs>
          <w:tab w:val="clear" w:pos="708"/>
          <w:tab w:val="left" w:pos="3969" w:leader="none"/>
        </w:tabs>
        <w:spacing w:lineRule="auto" w:line="276" w:before="0" w:after="200"/>
        <w:jc w:val="both"/>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Standard"/>
        <w:spacing w:lineRule="auto" w:line="276"/>
        <w:jc w:val="both"/>
        <w:rPr>
          <w:rFonts w:eastAsia="Times New Roman" w:cs="Times New Roman"/>
          <w:b/>
          <w:kern w:val="0"/>
          <w:u w:val="single"/>
          <w:lang w:eastAsia="pl-PL" w:bidi="ar-SA"/>
        </w:rPr>
      </w:pPr>
      <w:r>
        <w:rPr>
          <w:rFonts w:eastAsia="Times New Roman" w:cs="Times New Roman"/>
          <w:b/>
          <w:kern w:val="0"/>
          <w:u w:val="single"/>
          <w:lang w:eastAsia="pl-PL" w:bidi="ar-SA"/>
        </w:rPr>
        <w:t>7. Zakończenie posiedzenia</w:t>
      </w:r>
    </w:p>
    <w:p>
      <w:pPr>
        <w:pStyle w:val="Normal"/>
        <w:spacing w:lineRule="auto" w:line="276" w:beforeAutospacing="1" w:afterAutospacing="1"/>
        <w:jc w:val="both"/>
        <w:rPr>
          <w:rFonts w:ascii="Times New Roman" w:hAnsi="Times New Roman" w:cs="Times New Roman"/>
          <w:sz w:val="24"/>
          <w:szCs w:val="24"/>
        </w:rPr>
      </w:pPr>
      <w:r>
        <w:rPr>
          <w:rFonts w:cs="Times New Roman" w:ascii="Times New Roman" w:hAnsi="Times New Roman"/>
          <w:sz w:val="24"/>
          <w:szCs w:val="24"/>
        </w:rPr>
        <w:t>Komisja zakończyła swoją pracę o godzinie 18:41.</w:t>
      </w:r>
    </w:p>
    <w:p>
      <w:pPr>
        <w:pStyle w:val="Normal"/>
        <w:spacing w:lineRule="auto" w:line="276" w:beforeAutospacing="1" w:afterAutospacing="1"/>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r>
    </w:p>
    <w:p>
      <w:pPr>
        <w:pStyle w:val="Standard"/>
        <w:spacing w:lineRule="auto" w:line="276"/>
        <w:ind w:firstLine="705"/>
        <w:jc w:val="both"/>
        <w:rPr>
          <w:rFonts w:cs="Times New Roman"/>
          <w:lang w:val="pl-PL"/>
        </w:rPr>
      </w:pPr>
      <w:r>
        <w:rPr>
          <w:rFonts w:cs="Times New Roman"/>
          <w:lang w:val="pl-PL"/>
        </w:rPr>
      </w:r>
    </w:p>
    <w:p>
      <w:pPr>
        <w:pStyle w:val="Standard"/>
        <w:spacing w:lineRule="auto" w:line="276"/>
        <w:ind w:firstLine="705"/>
        <w:jc w:val="both"/>
        <w:rPr>
          <w:rFonts w:cs="Times New Roman"/>
          <w:lang w:val="pl-PL"/>
        </w:rPr>
      </w:pPr>
      <w:r>
        <w:rPr>
          <w:rFonts w:cs="Times New Roman"/>
          <w:lang w:val="pl-PL"/>
        </w:rPr>
      </w:r>
    </w:p>
    <w:p>
      <w:pPr>
        <w:pStyle w:val="Standard"/>
        <w:spacing w:lineRule="auto" w:line="276"/>
        <w:ind w:firstLine="705"/>
        <w:jc w:val="both"/>
        <w:rPr>
          <w:rFonts w:cs="Times New Roman"/>
          <w:lang w:val="pl-PL"/>
        </w:rPr>
      </w:pPr>
      <w:r>
        <w:rPr>
          <w:rFonts w:cs="Times New Roman"/>
          <w:lang w:val="pl-PL"/>
        </w:rPr>
      </w:r>
    </w:p>
    <w:p>
      <w:pPr>
        <w:pStyle w:val="Standard"/>
        <w:spacing w:lineRule="auto" w:line="276"/>
        <w:ind w:firstLine="705"/>
        <w:jc w:val="both"/>
        <w:rPr>
          <w:rFonts w:cs="Times New Roman"/>
          <w:lang w:val="pl-PL"/>
        </w:rPr>
      </w:pPr>
      <w:r>
        <w:rPr>
          <w:rFonts w:cs="Times New Roman"/>
          <w:lang w:val="pl-PL"/>
        </w:rPr>
        <w:t xml:space="preserve">Sekretarz Komisji </w:t>
        <w:tab/>
        <w:tab/>
        <w:tab/>
        <w:tab/>
        <w:tab/>
        <w:tab/>
        <w:t>Przewodnicząca Komisji</w:t>
      </w:r>
    </w:p>
    <w:p>
      <w:pPr>
        <w:pStyle w:val="Standard"/>
        <w:spacing w:lineRule="auto" w:line="276"/>
        <w:ind w:firstLine="708"/>
        <w:jc w:val="both"/>
        <w:rPr>
          <w:rFonts w:ascii="TimesNewRomanPSMT" w:hAnsi="TimesNewRomanPSMT"/>
          <w:bCs/>
          <w:color w:val="000000"/>
          <w:sz w:val="22"/>
          <w:szCs w:val="22"/>
          <w:lang w:val="pl-PL"/>
        </w:rPr>
      </w:pPr>
      <w:r>
        <w:rPr>
          <w:rFonts w:cs="Times New Roman"/>
          <w:lang w:val="pl-PL"/>
        </w:rPr>
        <w:t xml:space="preserve">Maciej Różański </w:t>
        <w:tab/>
        <w:tab/>
        <w:tab/>
        <w:tab/>
        <w:tab/>
        <w:tab/>
        <w:t>Katarzyna Ekwińska</w:t>
        <w:tab/>
      </w:r>
    </w:p>
    <w:p>
      <w:pPr>
        <w:pStyle w:val="Normal"/>
        <w:tabs>
          <w:tab w:val="clear" w:pos="708"/>
          <w:tab w:val="left" w:pos="3969" w:leader="none"/>
        </w:tabs>
        <w:spacing w:lineRule="auto" w:line="276" w:before="0" w:after="160"/>
        <w:jc w:val="both"/>
        <w:rPr>
          <w:rFonts w:ascii="Times New Roman" w:hAnsi="Times New Roman" w:cs="Times New Roman"/>
          <w:sz w:val="24"/>
          <w:szCs w:val="24"/>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imesNewRomanPSMT">
    <w:charset w:val="ee"/>
    <w:family w:val="roman"/>
    <w:pitch w:val="variable"/>
  </w:font>
  <w:font w:name="Liberation Sans">
    <w:altName w:val="Arial"/>
    <w:charset w:val="ee"/>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1428"/>
        </w:tabs>
        <w:ind w:left="1428" w:hanging="360"/>
      </w:pPr>
      <w:rPr>
        <w:rFonts w:ascii="Symbol" w:hAnsi="Symbol" w:cs="Symbol" w:hint="default"/>
        <w:sz w:val="20"/>
      </w:rPr>
    </w:lvl>
    <w:lvl w:ilvl="1">
      <w:start w:val="1"/>
      <w:numFmt w:val="bullet"/>
      <w:lvlText w:val="o"/>
      <w:lvlJc w:val="left"/>
      <w:pPr>
        <w:tabs>
          <w:tab w:val="num" w:pos="2148"/>
        </w:tabs>
        <w:ind w:left="2148" w:hanging="360"/>
      </w:pPr>
      <w:rPr>
        <w:rFonts w:ascii="Courier New" w:hAnsi="Courier New" w:cs="Courier New" w:hint="default"/>
        <w:sz w:val="20"/>
      </w:rPr>
    </w:lvl>
    <w:lvl w:ilvl="2">
      <w:start w:val="1"/>
      <w:numFmt w:val="bullet"/>
      <w:lvlText w:val=""/>
      <w:lvlJc w:val="left"/>
      <w:pPr>
        <w:tabs>
          <w:tab w:val="num" w:pos="2868"/>
        </w:tabs>
        <w:ind w:left="2868" w:hanging="360"/>
      </w:pPr>
      <w:rPr>
        <w:rFonts w:ascii="Wingdings" w:hAnsi="Wingdings" w:cs="Wingdings" w:hint="default"/>
        <w:sz w:val="20"/>
      </w:rPr>
    </w:lvl>
    <w:lvl w:ilvl="3">
      <w:start w:val="1"/>
      <w:numFmt w:val="bullet"/>
      <w:lvlText w:val=""/>
      <w:lvlJc w:val="left"/>
      <w:pPr>
        <w:tabs>
          <w:tab w:val="num" w:pos="3588"/>
        </w:tabs>
        <w:ind w:left="3588" w:hanging="360"/>
      </w:pPr>
      <w:rPr>
        <w:rFonts w:ascii="Wingdings" w:hAnsi="Wingdings" w:cs="Wingdings" w:hint="default"/>
        <w:sz w:val="20"/>
      </w:rPr>
    </w:lvl>
    <w:lvl w:ilvl="4">
      <w:start w:val="1"/>
      <w:numFmt w:val="bullet"/>
      <w:lvlText w:val=""/>
      <w:lvlJc w:val="left"/>
      <w:pPr>
        <w:tabs>
          <w:tab w:val="num" w:pos="4308"/>
        </w:tabs>
        <w:ind w:left="4308" w:hanging="360"/>
      </w:pPr>
      <w:rPr>
        <w:rFonts w:ascii="Wingdings" w:hAnsi="Wingdings" w:cs="Wingdings" w:hint="default"/>
        <w:sz w:val="20"/>
      </w:rPr>
    </w:lvl>
    <w:lvl w:ilvl="5">
      <w:start w:val="1"/>
      <w:numFmt w:val="bullet"/>
      <w:lvlText w:val=""/>
      <w:lvlJc w:val="left"/>
      <w:pPr>
        <w:tabs>
          <w:tab w:val="num" w:pos="5028"/>
        </w:tabs>
        <w:ind w:left="5028" w:hanging="360"/>
      </w:pPr>
      <w:rPr>
        <w:rFonts w:ascii="Wingdings" w:hAnsi="Wingdings" w:cs="Wingdings" w:hint="default"/>
        <w:sz w:val="20"/>
      </w:rPr>
    </w:lvl>
    <w:lvl w:ilvl="6">
      <w:start w:val="1"/>
      <w:numFmt w:val="bullet"/>
      <w:lvlText w:val=""/>
      <w:lvlJc w:val="left"/>
      <w:pPr>
        <w:tabs>
          <w:tab w:val="num" w:pos="5748"/>
        </w:tabs>
        <w:ind w:left="5748" w:hanging="360"/>
      </w:pPr>
      <w:rPr>
        <w:rFonts w:ascii="Wingdings" w:hAnsi="Wingdings" w:cs="Wingdings" w:hint="default"/>
        <w:sz w:val="20"/>
      </w:rPr>
    </w:lvl>
    <w:lvl w:ilvl="7">
      <w:start w:val="1"/>
      <w:numFmt w:val="bullet"/>
      <w:lvlText w:val=""/>
      <w:lvlJc w:val="left"/>
      <w:pPr>
        <w:tabs>
          <w:tab w:val="num" w:pos="6468"/>
        </w:tabs>
        <w:ind w:left="6468" w:hanging="360"/>
      </w:pPr>
      <w:rPr>
        <w:rFonts w:ascii="Wingdings" w:hAnsi="Wingdings" w:cs="Wingdings" w:hint="default"/>
        <w:sz w:val="20"/>
      </w:rPr>
    </w:lvl>
    <w:lvl w:ilvl="8">
      <w:start w:val="1"/>
      <w:numFmt w:val="bullet"/>
      <w:lvlText w:val=""/>
      <w:lvlJc w:val="left"/>
      <w:pPr>
        <w:tabs>
          <w:tab w:val="num" w:pos="7188"/>
        </w:tabs>
        <w:ind w:left="7188"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decimal"/>
      <w:lvlText w:val="%1."/>
      <w:lvlJc w:val="left"/>
      <w:pPr>
        <w:tabs>
          <w:tab w:val="num" w:pos="0"/>
        </w:tabs>
        <w:ind w:left="1211" w:hanging="360"/>
      </w:pPr>
      <w:rPr/>
    </w:lvl>
    <w:lvl w:ilvl="1">
      <w:start w:val="1"/>
      <w:numFmt w:val="decimal"/>
      <w:lvlText w:val="%2."/>
      <w:lvlJc w:val="left"/>
      <w:pPr>
        <w:tabs>
          <w:tab w:val="num" w:pos="0"/>
        </w:tabs>
        <w:ind w:left="1428" w:hanging="360"/>
      </w:pPr>
      <w:rPr>
        <w:b/>
      </w:rPr>
    </w:lvl>
    <w:lvl w:ilvl="2">
      <w:start w:val="1"/>
      <w:numFmt w:val="decimal"/>
      <w:lvlText w:val="%3."/>
      <w:lvlJc w:val="left"/>
      <w:pPr>
        <w:tabs>
          <w:tab w:val="num" w:pos="0"/>
        </w:tabs>
        <w:ind w:left="1788" w:hanging="360"/>
      </w:pPr>
      <w:rPr/>
    </w:lvl>
    <w:lvl w:ilvl="3">
      <w:start w:val="1"/>
      <w:numFmt w:val="decimal"/>
      <w:lvlText w:val="%4."/>
      <w:lvlJc w:val="left"/>
      <w:pPr>
        <w:tabs>
          <w:tab w:val="num" w:pos="0"/>
        </w:tabs>
        <w:ind w:left="2148" w:hanging="360"/>
      </w:pPr>
      <w:rPr/>
    </w:lvl>
    <w:lvl w:ilvl="4">
      <w:start w:val="1"/>
      <w:numFmt w:val="decimal"/>
      <w:lvlText w:val="%5."/>
      <w:lvlJc w:val="left"/>
      <w:pPr>
        <w:tabs>
          <w:tab w:val="num" w:pos="0"/>
        </w:tabs>
        <w:ind w:left="2508" w:hanging="360"/>
      </w:pPr>
      <w:rPr/>
    </w:lvl>
    <w:lvl w:ilvl="5">
      <w:start w:val="1"/>
      <w:numFmt w:val="decimal"/>
      <w:lvlText w:val="%6."/>
      <w:lvlJc w:val="left"/>
      <w:pPr>
        <w:tabs>
          <w:tab w:val="num" w:pos="0"/>
        </w:tabs>
        <w:ind w:left="2868" w:hanging="360"/>
      </w:pPr>
      <w:rPr/>
    </w:lvl>
    <w:lvl w:ilvl="6">
      <w:start w:val="1"/>
      <w:numFmt w:val="decimal"/>
      <w:lvlText w:val="%7."/>
      <w:lvlJc w:val="left"/>
      <w:pPr>
        <w:tabs>
          <w:tab w:val="num" w:pos="0"/>
        </w:tabs>
        <w:ind w:left="3228" w:hanging="360"/>
      </w:pPr>
      <w:rPr/>
    </w:lvl>
    <w:lvl w:ilvl="7">
      <w:start w:val="1"/>
      <w:numFmt w:val="decimal"/>
      <w:lvlText w:val="%8."/>
      <w:lvlJc w:val="left"/>
      <w:pPr>
        <w:tabs>
          <w:tab w:val="num" w:pos="0"/>
        </w:tabs>
        <w:ind w:left="3588" w:hanging="360"/>
      </w:pPr>
      <w:rPr/>
    </w:lvl>
    <w:lvl w:ilvl="8">
      <w:start w:val="1"/>
      <w:numFmt w:val="decimal"/>
      <w:lvlText w:val="%9."/>
      <w:lvlJc w:val="left"/>
      <w:pPr>
        <w:tabs>
          <w:tab w:val="num" w:pos="0"/>
        </w:tabs>
        <w:ind w:left="3948" w:hanging="36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070" w:hanging="360"/>
      </w:pPr>
      <w:rPr>
        <w:rFonts w:eastAsia="Times New Roman"/>
        <w:color w:val="auto"/>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a373a"/>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3">
    <w:name w:val="Heading 3"/>
    <w:basedOn w:val="Normal"/>
    <w:link w:val="Nagwek3Znak"/>
    <w:uiPriority w:val="9"/>
    <w:qFormat/>
    <w:rsid w:val="00f23102"/>
    <w:pPr>
      <w:spacing w:lineRule="auto" w:line="240" w:beforeAutospacing="1" w:afterAutospacing="1"/>
      <w:outlineLvl w:val="2"/>
    </w:pPr>
    <w:rPr>
      <w:rFonts w:ascii="Times New Roman" w:hAnsi="Times New Roman" w:eastAsia="Times New Roman" w:cs="Times New Roman"/>
      <w:b/>
      <w:bCs/>
      <w:sz w:val="27"/>
      <w:szCs w:val="27"/>
      <w:lang w:eastAsia="pl-PL"/>
    </w:rPr>
  </w:style>
  <w:style w:type="paragraph" w:styleId="Nagwek4">
    <w:name w:val="Heading 4"/>
    <w:basedOn w:val="Normal"/>
    <w:link w:val="Nagwek4Znak"/>
    <w:uiPriority w:val="9"/>
    <w:qFormat/>
    <w:rsid w:val="00f23102"/>
    <w:pPr>
      <w:spacing w:lineRule="auto" w:line="240" w:beforeAutospacing="1" w:afterAutospacing="1"/>
      <w:outlineLvl w:val="3"/>
    </w:pPr>
    <w:rPr>
      <w:rFonts w:ascii="Times New Roman" w:hAnsi="Times New Roman" w:eastAsia="Times New Roman" w:cs="Times New Roman"/>
      <w:b/>
      <w:bCs/>
      <w:sz w:val="24"/>
      <w:szCs w:val="24"/>
      <w:lang w:eastAsia="pl-PL"/>
    </w:rPr>
  </w:style>
  <w:style w:type="character" w:styleId="DefaultParagraphFont" w:default="1">
    <w:name w:val="Default Paragraph Font"/>
    <w:uiPriority w:val="1"/>
    <w:semiHidden/>
    <w:unhideWhenUsed/>
    <w:qFormat/>
    <w:rPr/>
  </w:style>
  <w:style w:type="character" w:styleId="Nagwek3Znak" w:customStyle="1">
    <w:name w:val="Nagłówek 3 Znak"/>
    <w:basedOn w:val="DefaultParagraphFont"/>
    <w:uiPriority w:val="9"/>
    <w:qFormat/>
    <w:rsid w:val="00f23102"/>
    <w:rPr>
      <w:rFonts w:ascii="Times New Roman" w:hAnsi="Times New Roman" w:eastAsia="Times New Roman" w:cs="Times New Roman"/>
      <w:b/>
      <w:bCs/>
      <w:sz w:val="27"/>
      <w:szCs w:val="27"/>
      <w:lang w:eastAsia="pl-PL"/>
    </w:rPr>
  </w:style>
  <w:style w:type="character" w:styleId="Nagwek4Znak" w:customStyle="1">
    <w:name w:val="Nagłówek 4 Znak"/>
    <w:basedOn w:val="DefaultParagraphFont"/>
    <w:uiPriority w:val="9"/>
    <w:qFormat/>
    <w:rsid w:val="00f23102"/>
    <w:rPr>
      <w:rFonts w:ascii="Times New Roman" w:hAnsi="Times New Roman" w:eastAsia="Times New Roman" w:cs="Times New Roman"/>
      <w:b/>
      <w:bCs/>
      <w:sz w:val="24"/>
      <w:szCs w:val="24"/>
      <w:lang w:eastAsia="pl-PL"/>
    </w:rPr>
  </w:style>
  <w:style w:type="character" w:styleId="Strong">
    <w:name w:val="Strong"/>
    <w:basedOn w:val="DefaultParagraphFont"/>
    <w:uiPriority w:val="22"/>
    <w:qFormat/>
    <w:rsid w:val="00f23102"/>
    <w:rPr>
      <w:b/>
      <w:bCs/>
    </w:rPr>
  </w:style>
  <w:style w:type="character" w:styleId="Fontstyle01" w:customStyle="1">
    <w:name w:val="fontstyle01"/>
    <w:basedOn w:val="DefaultParagraphFont"/>
    <w:qFormat/>
    <w:rsid w:val="00b14187"/>
    <w:rPr>
      <w:rFonts w:ascii="TimesNewRomanPSMT" w:hAnsi="TimesNewRomanPSMT"/>
      <w:b w:val="false"/>
      <w:bCs w:val="false"/>
      <w:i w:val="false"/>
      <w:iCs w:val="false"/>
      <w:color w:val="000000"/>
      <w:sz w:val="22"/>
      <w:szCs w:val="22"/>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ormalWeb">
    <w:name w:val="Normal (Web)"/>
    <w:basedOn w:val="Normal"/>
    <w:uiPriority w:val="99"/>
    <w:semiHidden/>
    <w:unhideWhenUsed/>
    <w:qFormat/>
    <w:rsid w:val="00f23102"/>
    <w:pPr>
      <w:spacing w:lineRule="auto" w:line="240" w:beforeAutospacing="1" w:afterAutospacing="1"/>
    </w:pPr>
    <w:rPr>
      <w:rFonts w:ascii="Times New Roman" w:hAnsi="Times New Roman" w:eastAsia="Times New Roman" w:cs="Times New Roman"/>
      <w:sz w:val="24"/>
      <w:szCs w:val="24"/>
      <w:lang w:eastAsia="pl-PL"/>
    </w:rPr>
  </w:style>
  <w:style w:type="paragraph" w:styleId="ListParagraph">
    <w:name w:val="List Paragraph"/>
    <w:basedOn w:val="Normal"/>
    <w:uiPriority w:val="34"/>
    <w:qFormat/>
    <w:rsid w:val="00b14187"/>
    <w:pPr>
      <w:spacing w:before="0" w:after="160"/>
      <w:ind w:left="720" w:hanging="0"/>
      <w:contextualSpacing/>
    </w:pPr>
    <w:rPr/>
  </w:style>
  <w:style w:type="paragraph" w:styleId="Standard" w:customStyle="1">
    <w:name w:val="Standard"/>
    <w:qFormat/>
    <w:rsid w:val="00b14187"/>
    <w:pPr>
      <w:widowControl/>
      <w:suppressAutoHyphens w:val="true"/>
      <w:bidi w:val="0"/>
      <w:spacing w:lineRule="auto" w:line="240" w:before="0" w:after="0"/>
      <w:jc w:val="left"/>
    </w:pPr>
    <w:rPr>
      <w:rFonts w:ascii="Times New Roman" w:hAnsi="Times New Roman" w:eastAsia="Andale Sans UI" w:cs="Tahoma"/>
      <w:color w:val="auto"/>
      <w:kern w:val="2"/>
      <w:sz w:val="24"/>
      <w:szCs w:val="24"/>
      <w:lang w:val="de-DE" w:eastAsia="ja-JP" w:bidi="fa-IR"/>
    </w:rPr>
  </w:style>
  <w:style w:type="paragraph" w:styleId="NoSpacing">
    <w:name w:val="No Spacing"/>
    <w:uiPriority w:val="1"/>
    <w:qFormat/>
    <w:rsid w:val="00bb7641"/>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LibreOffice/7.5.4.2$Windows_X86_64 LibreOffice_project/36ccfdc35048b057fd9854c757a8b67ec53977b6</Application>
  <AppVersion>15.0000</AppVersion>
  <Pages>12</Pages>
  <Words>3318</Words>
  <Characters>21378</Characters>
  <CharactersWithSpaces>24561</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2025-06-08T21:31:00Z</dcterms:created>
  <dc:creator>Różański Maciej</dc:creator>
  <dc:description/>
  <dc:language>pl-PL</dc:language>
  <cp:lastModifiedBy>Różański Maciej</cp:lastModifiedBy>
  <dcterms:modified xsi:type="dcterms:W3CDTF">2025-06-08T21:31:00Z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