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76"/>
        <w:jc w:val="center"/>
        <w:rPr>
          <w:rFonts w:cs="Times New Roman"/>
          <w:b/>
          <w:bCs/>
          <w:sz w:val="28"/>
          <w:lang w:val="pl-PL"/>
        </w:rPr>
      </w:pPr>
      <w:r>
        <w:rPr>
          <w:rFonts w:cs="Times New Roman"/>
          <w:b/>
          <w:bCs/>
          <w:sz w:val="28"/>
          <w:lang w:val="pl-PL"/>
        </w:rPr>
        <w:t>PROTOKÓŁ NR 12/2025</w:t>
      </w:r>
    </w:p>
    <w:p>
      <w:pPr>
        <w:pStyle w:val="Standard"/>
        <w:spacing w:lineRule="auto" w:line="276"/>
        <w:jc w:val="center"/>
        <w:rPr>
          <w:rFonts w:cs="Times New Roman"/>
          <w:b/>
          <w:bCs/>
          <w:sz w:val="28"/>
          <w:lang w:val="pl-PL"/>
        </w:rPr>
      </w:pPr>
      <w:r>
        <w:rPr>
          <w:rFonts w:cs="Times New Roman"/>
          <w:b/>
          <w:bCs/>
          <w:sz w:val="28"/>
          <w:lang w:val="pl-PL"/>
        </w:rPr>
        <w:t>POSIEDZENIA KOMISJI BUDŻETU I FINANSÓW</w:t>
      </w:r>
    </w:p>
    <w:p>
      <w:pPr>
        <w:pStyle w:val="Standard"/>
        <w:spacing w:lineRule="auto" w:line="276"/>
        <w:jc w:val="center"/>
        <w:rPr>
          <w:rFonts w:cs="Times New Roman"/>
          <w:b/>
          <w:bCs/>
          <w:sz w:val="28"/>
          <w:lang w:val="pl-PL"/>
        </w:rPr>
      </w:pPr>
      <w:r>
        <w:rPr>
          <w:rFonts w:cs="Times New Roman"/>
          <w:b/>
          <w:bCs/>
          <w:sz w:val="28"/>
          <w:lang w:val="pl-PL"/>
        </w:rPr>
        <w:t>Z DNIA 09.04.2025</w:t>
      </w:r>
    </w:p>
    <w:p>
      <w:pPr>
        <w:pStyle w:val="Normal"/>
        <w:spacing w:lineRule="auto" w:line="276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  <w:t>Dnia 9 kwietnia 2025 o godzinie 17:00 w Sali sesyjnej Rady Miasta Luboń odbyło się posiedzenie Komisji Budżetu i Finansów.</w:t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Standard"/>
        <w:spacing w:lineRule="auto" w:line="276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Porządek obrad:</w:t>
      </w:r>
    </w:p>
    <w:p>
      <w:pPr>
        <w:pStyle w:val="Standard"/>
        <w:numPr>
          <w:ilvl w:val="0"/>
          <w:numId w:val="1"/>
        </w:numPr>
        <w:spacing w:lineRule="auto" w:line="276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Style w:val="Fontstyle01"/>
          <w:rFonts w:cs="Times New Roman"/>
          <w:color w:val="auto"/>
          <w:sz w:val="24"/>
          <w:szCs w:val="24"/>
          <w:lang w:val="pl-PL"/>
        </w:rPr>
        <w:t>Otwarcie obrad komisji i stwierdzenie quorum.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Ocena sprawozdania z wykonania budżetu, sprawozdania finansowego </w:t>
        <w:br/>
        <w:t>i informacji o stanie mienia komunalnego za 2024 r.</w:t>
      </w:r>
    </w:p>
    <w:p>
      <w:pPr>
        <w:pStyle w:val="Standard"/>
        <w:numPr>
          <w:ilvl w:val="0"/>
          <w:numId w:val="1"/>
        </w:numPr>
        <w:spacing w:lineRule="auto" w:line="276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Style w:val="Fontstyle01"/>
          <w:rFonts w:cs="Times New Roman"/>
          <w:color w:val="auto"/>
          <w:sz w:val="24"/>
          <w:szCs w:val="24"/>
          <w:lang w:val="pl-PL"/>
        </w:rPr>
        <w:t xml:space="preserve">Opiniowanie projektu uchwały w sprawie zmiany uchwały budżetowej Miasta Luboń na 2025 rok </w:t>
      </w:r>
    </w:p>
    <w:p>
      <w:pPr>
        <w:pStyle w:val="Standard"/>
        <w:numPr>
          <w:ilvl w:val="0"/>
          <w:numId w:val="1"/>
        </w:numPr>
        <w:spacing w:lineRule="auto" w:line="276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Style w:val="Fontstyle01"/>
          <w:rFonts w:cs="Times New Roman"/>
          <w:color w:val="auto"/>
          <w:sz w:val="24"/>
          <w:szCs w:val="24"/>
          <w:lang w:val="pl-PL"/>
        </w:rPr>
        <w:t>Opiniowanie projektu uchwały w sprawie zmiany Wieloletniej Prognozy Finansowej Miasta Luboń na lata 2025–2044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Style w:val="Fontstyle01"/>
          <w:rFonts w:ascii="Times New Roman" w:hAnsi="Times New Roman" w:eastAsia="Andale Sans UI" w:cs="Times New Roman"/>
          <w:bCs/>
          <w:kern w:val="2"/>
          <w:sz w:val="24"/>
          <w:szCs w:val="24"/>
          <w:lang w:eastAsia="ja-JP" w:bidi="fa-IR"/>
        </w:rPr>
      </w:pPr>
      <w:r>
        <w:rPr>
          <w:rStyle w:val="Fontstyle01"/>
          <w:rFonts w:eastAsia="Andale Sans UI" w:cs="Times New Roman" w:ascii="Times New Roman" w:hAnsi="Times New Roman"/>
          <w:bCs/>
          <w:kern w:val="2"/>
          <w:sz w:val="24"/>
          <w:szCs w:val="24"/>
          <w:lang w:eastAsia="ja-JP" w:bidi="fa-IR"/>
        </w:rPr>
        <w:t>Głosowanie nad przyjęciem protokołu nr 9 z dnia 11 grudnia 2024</w:t>
      </w:r>
    </w:p>
    <w:p>
      <w:pPr>
        <w:pStyle w:val="Standard"/>
        <w:numPr>
          <w:ilvl w:val="0"/>
          <w:numId w:val="1"/>
        </w:numPr>
        <w:spacing w:lineRule="auto" w:line="276"/>
        <w:jc w:val="both"/>
        <w:rPr>
          <w:rStyle w:val="Fontstyle01"/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Style w:val="Fontstyle01"/>
          <w:rFonts w:cs="Times New Roman"/>
          <w:bCs/>
          <w:sz w:val="24"/>
          <w:szCs w:val="24"/>
          <w:lang w:val="pl-PL"/>
        </w:rPr>
        <w:t>Wolne głosy i wnioski</w:t>
      </w:r>
    </w:p>
    <w:p>
      <w:pPr>
        <w:pStyle w:val="Standard"/>
        <w:numPr>
          <w:ilvl w:val="0"/>
          <w:numId w:val="1"/>
        </w:numPr>
        <w:spacing w:lineRule="auto" w:line="276"/>
        <w:jc w:val="both"/>
        <w:rPr>
          <w:rStyle w:val="Fontstyle01"/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Style w:val="Fontstyle01"/>
          <w:rFonts w:cs="Times New Roman"/>
          <w:bCs/>
          <w:sz w:val="24"/>
          <w:szCs w:val="24"/>
          <w:lang w:val="pl-PL"/>
        </w:rPr>
        <w:t>Zakończenie posiedzenia</w:t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Normal"/>
        <w:spacing w:lineRule="auto" w:line="276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</w:r>
    </w:p>
    <w:p>
      <w:pPr>
        <w:pStyle w:val="Standard"/>
        <w:spacing w:lineRule="auto" w:line="276"/>
        <w:rPr>
          <w:rFonts w:cs="Times New Roman"/>
          <w:b/>
          <w:bCs/>
          <w:u w:val="single"/>
          <w:lang w:val="pl-PL"/>
        </w:rPr>
      </w:pPr>
      <w:r>
        <w:rPr>
          <w:rFonts w:cs="Times New Roman"/>
          <w:b/>
          <w:bCs/>
          <w:u w:val="single"/>
          <w:lang w:val="pl-PL"/>
        </w:rPr>
        <w:t>Przebieg posiedzenia:</w:t>
      </w:r>
    </w:p>
    <w:p>
      <w:pPr>
        <w:pStyle w:val="Standard"/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cs="Times New Roman"/>
          <w:b/>
          <w:u w:val="single"/>
          <w:lang w:val="pl-PL"/>
        </w:rPr>
      </w:pPr>
      <w:r>
        <w:rPr>
          <w:rFonts w:cs="Times New Roman"/>
          <w:b/>
          <w:u w:val="single"/>
          <w:lang w:val="pl-PL"/>
        </w:rPr>
        <w:t>Otwarcie obrad komisji i stwierdzenie quorum.</w:t>
      </w:r>
    </w:p>
    <w:p>
      <w:pPr>
        <w:pStyle w:val="Standard"/>
        <w:spacing w:lineRule="auto" w:line="276"/>
        <w:ind w:left="1080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left="708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Obrady rozpoczęły się o godzinie 17:00 i prowadziła je Przewodnicząca Komisji Budżetu i Finansów Pani Katarzyna Ekwińska.</w:t>
      </w:r>
    </w:p>
    <w:p>
      <w:pPr>
        <w:pStyle w:val="Standard"/>
        <w:spacing w:lineRule="auto" w:line="276"/>
        <w:ind w:left="1080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Przeprowadzono sprawdzenie obecności.</w:t>
      </w:r>
    </w:p>
    <w:p>
      <w:pPr>
        <w:pStyle w:val="Standard"/>
        <w:spacing w:lineRule="auto" w:line="276"/>
        <w:ind w:left="1080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Komisja Budżetu i Finansów</w:t>
      </w:r>
    </w:p>
    <w:p>
      <w:pPr>
        <w:pStyle w:val="Standard"/>
        <w:spacing w:lineRule="auto" w:line="276"/>
        <w:ind w:left="708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Obecnych było 9 członków komisji, </w:t>
      </w:r>
    </w:p>
    <w:p>
      <w:pPr>
        <w:pStyle w:val="Standard"/>
        <w:spacing w:lineRule="auto" w:line="276"/>
        <w:ind w:left="708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nieobecna 1 osoba – Radna </w:t>
      </w:r>
      <w:r>
        <w:rPr>
          <w:rFonts w:cs="Times New Roman"/>
        </w:rPr>
        <w:t>Elżbieta Zapłata-Szwedziak</w:t>
      </w:r>
    </w:p>
    <w:p>
      <w:pPr>
        <w:pStyle w:val="Standard"/>
        <w:spacing w:lineRule="auto" w:line="276"/>
        <w:ind w:left="1080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tbl>
      <w:tblPr>
        <w:tblW w:w="8079" w:type="dxa"/>
        <w:jc w:val="left"/>
        <w:tblInd w:w="70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46"/>
        <w:gridCol w:w="3663"/>
        <w:gridCol w:w="2269"/>
        <w:gridCol w:w="1700"/>
      </w:tblGrid>
      <w:tr>
        <w:trPr>
          <w:trHeight w:val="300" w:hRule="atLeast"/>
        </w:trPr>
        <w:tc>
          <w:tcPr>
            <w:tcW w:w="8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Lista Obecności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l.p.</w:t>
            </w:r>
          </w:p>
        </w:tc>
        <w:tc>
          <w:tcPr>
            <w:tcW w:w="3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imię i nazwisko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stanowisko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obecność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Katarzyna Ekwińska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przewodnicząca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obecna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Monika Izabela Nawrot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wiceprzewodnicząca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obecna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Maciej Różański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sekretarz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obecny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Karolina Monika Wilczyńska-Kąkol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obecna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Jakub Przemysław Jelinski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obecny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Teresa Zygmanowska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obecna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Hieronim Gawelski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obecny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Konrad Dominiak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obecny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Elżbieta Zapłata-Szwedziak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nieobecna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3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Piotr Łukasz Izydorski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eastAsia="ja-JP" w:bidi="fa-IR"/>
              </w:rPr>
              <w:t>obecny</w:t>
            </w:r>
          </w:p>
        </w:tc>
      </w:tr>
    </w:tbl>
    <w:p>
      <w:pPr>
        <w:pStyle w:val="Standard"/>
        <w:spacing w:lineRule="auto" w:line="276"/>
        <w:ind w:left="1080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Stwierdzono quorum.</w:t>
      </w:r>
    </w:p>
    <w:p>
      <w:pPr>
        <w:pStyle w:val="Standard"/>
        <w:spacing w:lineRule="auto" w:line="276"/>
        <w:ind w:left="1065" w:hanging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 obradach gościnnie uczestniczyły następujące osoby:</w:t>
      </w:r>
    </w:p>
    <w:p>
      <w:pPr>
        <w:pStyle w:val="Standard"/>
        <w:spacing w:lineRule="auto" w:line="276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Burmistrz Małgorzata Machalska</w:t>
      </w:r>
    </w:p>
    <w:p>
      <w:pPr>
        <w:pStyle w:val="Standard"/>
        <w:spacing w:lineRule="auto" w:line="276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Skarbnika Miasta Mirosław Stromczyński</w:t>
      </w:r>
    </w:p>
    <w:p>
      <w:pPr>
        <w:pStyle w:val="Standard"/>
        <w:spacing w:lineRule="auto" w:line="276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Andale Sans UI" w:cs="Times New Roman"/>
          <w:kern w:val="2"/>
          <w:sz w:val="24"/>
          <w:szCs w:val="24"/>
          <w:lang w:eastAsia="ja-JP" w:bidi="fa-IR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  <w:lang w:eastAsia="ja-JP" w:bidi="fa-IR"/>
        </w:rPr>
        <w:t>Przewodnicząca Komisji Budżetu i Finansów poinformowała, że podczas posiedzenia Komisja zajmie się oceną rocznego sprawozdania z wykonania budżetu za 2024 rok, oceną sprawozdania finansowego, analizą informacji o stanie mienia komunalnego, a także opiniowaniem projektów uchwał na najbliższą sesję Rady Miasta.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pl-PL"/>
        </w:rPr>
        <w:t xml:space="preserve">2. Ocena sprawozdania z wykonania budżetu, sprawozdania finansowego </w:t>
        <w:br/>
        <w:t>i informacji o stanie mienia komunalnego za 2024 r.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Przechodząc do merytorycznej części, rozpoczęto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rozpatrywanie punktu dotyczącego oceny sprawozdania z wykonania budżetu za rok 2024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 Przewodnicząca przypomniała, że dokumentacja w tej sprawie została przekazana radnym drogą elektroniczną pod koniec marca przez Panią Dominikę Kędziora z Biura Rady Miasta, co dało komisji tydzień na zapoznanie się z materiałami przed posiedzeniem.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Przewodnicząca Komisji potwierdziła, że dokumenty zostały szczegółowo przygotowane, a ich zawartość – w tym liczne wykresy i dane porównawcze sięgające nawet do roku 2018 – umożliwia przejrzystą analizę. Podkreślono, że materiały są </w:t>
        <w:br/>
        <w:t>z roku na rok coraz bardziej szczegółowe i pomocne w ocenie realizacji budżetu.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związku z brakiem zgłoszeń do dyskusji oraz brakiem konkretnych uwag do treści sprawozdania, ustalono, że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pytania do skarbnika lub przewodniczącej komisji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można będzie nadal zgłaszać drogą mailową – zarówno przez członków Komisji Budżetu, jak i przez pozostałych radnych. Podkreślono, że Komisja nie zamyka jeszcze etapu opiniowania, a ewentualne pytania zostaną uwzględnione na kolejnym posiedzeniu Komisji, jeszcze przed sesją absolutoryjną.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Ustalono termin składania pytań do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poniedziałku, 28 kwietnia 2025 r.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, aby zapewnić skarbnikowi odpowiedni czas na przygotowanie odpowiedzi. Podkreślono, że warto również rozesłać do wszystkich radnych informację o możliwości składania pytań, niezależnie od tego, że formalnie opinię przygotowuje jedynie Komisja Budżetu.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Na zakończenie tego punktu Przewodnicząca wyraziła wdzięczność za dotychczasowe zaangażowanie i ponowiła prośbę o przesyłanie pytań w formie mailowej do końca kwietnia. Następnie Komisja przeszła do realizacji kolejnego punktu porządku obrad.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Strong"/>
          <w:rFonts w:cs="Times New Roman" w:ascii="Times New Roman" w:hAnsi="Times New Roman"/>
          <w:sz w:val="24"/>
          <w:szCs w:val="24"/>
          <w:u w:val="single"/>
        </w:rPr>
        <w:t>3. Opiniowanie projektu uchwały w sprawie zmiany uchwały budżetowej Miasta Luboń na rok 2025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>W drugim punkcie porządku obrad Komisji Budżetu i Finansów głos zabrał Skarbnik Miasta Luboń, Pan Mirosław Stromczyński, który przedstawił szczegółowo projekt uchwały w sprawie zmiany uchwały budżetowej Miasta Luboń na 2025 rok.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Na wstępie Skarbnik poinformował, że projekt uchwały nie zawiera autopoprawek, </w:t>
        <w:br/>
        <w:t>co – jak zaznaczył – jest sytuacją wyjątkową. Jednocześnie zastrzegł, że dynamiczny charakter zmian budżetowych nie wyklucza możliwości ich wniesienia w późniejszym terminie.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Skarbnik przeszedł następnie do omówienia szczegółowych zmian. Jak zaznaczył, dochody miasta zwiększają się o </w:t>
      </w:r>
      <w:r>
        <w:rPr>
          <w:rStyle w:val="Strong"/>
        </w:rPr>
        <w:t>1 195 676,55 zł</w:t>
      </w:r>
      <w:r>
        <w:rPr/>
        <w:t xml:space="preserve">. Wskazał, że pierwsza zmiana dotyczy </w:t>
      </w:r>
      <w:r>
        <w:rPr>
          <w:rStyle w:val="Strong"/>
        </w:rPr>
        <w:t>korekty wpływów z podatku od nieruchomości</w:t>
      </w:r>
      <w:r>
        <w:rPr/>
        <w:t xml:space="preserve"> – wynikającej z aktualizacji deklaracji złożonej przez spółkę LOSIR. Na skutek tej korekty do budżetu miasta wpłynie </w:t>
        <w:br/>
      </w:r>
      <w:r>
        <w:rPr>
          <w:rStyle w:val="Strong"/>
        </w:rPr>
        <w:t>70 000,00 zł</w:t>
      </w:r>
      <w:r>
        <w:rPr/>
        <w:t>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Kolejna zmiana to wprowadzenie środków z rezerwy subwencji oświatowej w kwocie </w:t>
      </w:r>
      <w:r>
        <w:rPr>
          <w:rStyle w:val="Strong"/>
        </w:rPr>
        <w:t>529 616,00 zł</w:t>
      </w:r>
      <w:r>
        <w:rPr/>
        <w:t>, która związana jest z podniesieniem prognozy wzrostu wynagrodzeń nauczycieli z pierwotnych 4,1% do 5%. Skarbnik zaznaczył, że podobnie jak w latach ubiegłych, po rozpoczęciu roku szkolnego będzie konieczne dokonanie przeszacowania – część tych środków może pozostać niewykorzystana, a część zostanie przeznaczona na zwiększenie odpisów na Zakładowy Fundusz Świadczeń Socjalnych.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W dalszej części Skarbnik poinformował o wpływie </w:t>
      </w:r>
      <w:r>
        <w:rPr>
          <w:rStyle w:val="Strong"/>
        </w:rPr>
        <w:t>2 143,00 zł</w:t>
      </w:r>
      <w:r>
        <w:rPr/>
        <w:t xml:space="preserve"> z tytułu odszkodowania wypłaconego przez ubezpieczyciela za zalanie sali lekcyjnej.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W odniesieniu do przedszkoli wskazał korektę dochodów wynikającą z realizacji programu unijnego – </w:t>
      </w:r>
      <w:r>
        <w:rPr>
          <w:rStyle w:val="Strong"/>
        </w:rPr>
        <w:t>zmniejszenie o 9 730,91 zł</w:t>
      </w:r>
      <w:r>
        <w:rPr/>
        <w:t xml:space="preserve"> i </w:t>
      </w:r>
      <w:r>
        <w:rPr>
          <w:rStyle w:val="Strong"/>
        </w:rPr>
        <w:t>zwiększenie o 2 501,28 zł</w:t>
      </w:r>
      <w:r>
        <w:rPr/>
        <w:t xml:space="preserve"> </w:t>
        <w:br/>
        <w:t>w odpowiednich paragrafach.</w:t>
      </w:r>
    </w:p>
    <w:p>
      <w:pPr>
        <w:pStyle w:val="NormalWeb"/>
        <w:spacing w:lineRule="auto" w:line="276" w:before="280" w:after="280"/>
        <w:ind w:left="708" w:hanging="0"/>
        <w:rPr/>
      </w:pPr>
      <w:r>
        <w:rPr/>
        <w:t>W dziale pomocy społecznej omówił wpływy z dotacji:</w:t>
      </w:r>
    </w:p>
    <w:p>
      <w:pPr>
        <w:pStyle w:val="NormalWeb"/>
        <w:numPr>
          <w:ilvl w:val="0"/>
          <w:numId w:val="4"/>
        </w:numPr>
        <w:tabs>
          <w:tab w:val="clear" w:pos="708"/>
          <w:tab w:val="left" w:pos="1428" w:leader="none"/>
        </w:tabs>
        <w:spacing w:lineRule="auto" w:line="276" w:before="280" w:after="0"/>
        <w:ind w:left="1428" w:hanging="360"/>
        <w:rPr/>
      </w:pPr>
      <w:r>
        <w:rPr>
          <w:rStyle w:val="Strong"/>
        </w:rPr>
        <w:t>46 096,16 zł</w:t>
      </w:r>
      <w:r>
        <w:rPr/>
        <w:t xml:space="preserve"> – na ośrodki wsparcia,</w:t>
      </w:r>
    </w:p>
    <w:p>
      <w:pPr>
        <w:pStyle w:val="NormalWeb"/>
        <w:numPr>
          <w:ilvl w:val="0"/>
          <w:numId w:val="4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329 529,70 zł</w:t>
      </w:r>
      <w:r>
        <w:rPr/>
        <w:t xml:space="preserve"> – na działalność MOPS,</w:t>
      </w:r>
    </w:p>
    <w:p>
      <w:pPr>
        <w:pStyle w:val="NormalWeb"/>
        <w:numPr>
          <w:ilvl w:val="0"/>
          <w:numId w:val="4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201 990,36 zł</w:t>
      </w:r>
      <w:r>
        <w:rPr/>
        <w:t xml:space="preserve"> – z programu „Posiłek w domu i szkole”,</w:t>
      </w:r>
    </w:p>
    <w:p>
      <w:pPr>
        <w:pStyle w:val="NormalWeb"/>
        <w:numPr>
          <w:ilvl w:val="0"/>
          <w:numId w:val="4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1 232,02 zł</w:t>
      </w:r>
      <w:r>
        <w:rPr/>
        <w:t xml:space="preserve"> – na stypendia i zasiłki dla uczniów z Ukrainy,</w:t>
      </w:r>
    </w:p>
    <w:p>
      <w:pPr>
        <w:pStyle w:val="NormalWeb"/>
        <w:numPr>
          <w:ilvl w:val="0"/>
          <w:numId w:val="4"/>
        </w:numPr>
        <w:tabs>
          <w:tab w:val="clear" w:pos="708"/>
          <w:tab w:val="left" w:pos="1428" w:leader="none"/>
        </w:tabs>
        <w:spacing w:lineRule="auto" w:line="276" w:before="0" w:after="280"/>
        <w:ind w:left="1428" w:hanging="360"/>
        <w:rPr/>
      </w:pPr>
      <w:r>
        <w:rPr>
          <w:rStyle w:val="Strong"/>
        </w:rPr>
        <w:t>25 130,70 zł</w:t>
      </w:r>
      <w:r>
        <w:rPr/>
        <w:t xml:space="preserve"> – na wsparcie rodzin.</w:t>
      </w:r>
    </w:p>
    <w:p>
      <w:pPr>
        <w:pStyle w:val="NormalWeb"/>
        <w:spacing w:lineRule="auto" w:line="276" w:before="280" w:after="280"/>
        <w:ind w:left="708" w:hanging="0"/>
        <w:rPr/>
      </w:pPr>
      <w:r>
        <w:rPr/>
        <w:t xml:space="preserve">Wskazał również korekty w programach unijnych – zmniejszenia o </w:t>
      </w:r>
      <w:r>
        <w:rPr>
          <w:rStyle w:val="Strong"/>
        </w:rPr>
        <w:t>2 074,95 zł</w:t>
      </w:r>
      <w:r>
        <w:rPr/>
        <w:t xml:space="preserve"> </w:t>
        <w:br/>
        <w:t xml:space="preserve">oraz </w:t>
      </w:r>
      <w:r>
        <w:rPr>
          <w:rStyle w:val="Strong"/>
        </w:rPr>
        <w:t>756,81 zł</w:t>
      </w:r>
      <w:r>
        <w:rPr/>
        <w:t>.</w:t>
      </w:r>
    </w:p>
    <w:p>
      <w:pPr>
        <w:pStyle w:val="NormalWeb"/>
        <w:spacing w:lineRule="auto" w:line="276" w:before="280" w:after="280"/>
        <w:ind w:left="708" w:hanging="0"/>
        <w:rPr/>
      </w:pPr>
      <w:r>
        <w:rPr/>
        <w:t xml:space="preserve">Następnie przeszedł do omówienia wydatków, które zwiększają się o </w:t>
      </w:r>
      <w:r>
        <w:rPr>
          <w:rStyle w:val="Strong"/>
        </w:rPr>
        <w:t>1 123 982,40 zł</w:t>
      </w:r>
      <w:r>
        <w:rPr/>
        <w:t>. Wśród najważniejszych pozycji wskazał:</w:t>
      </w:r>
    </w:p>
    <w:p>
      <w:pPr>
        <w:pStyle w:val="NormalWeb"/>
        <w:numPr>
          <w:ilvl w:val="0"/>
          <w:numId w:val="5"/>
        </w:numPr>
        <w:tabs>
          <w:tab w:val="clear" w:pos="708"/>
          <w:tab w:val="left" w:pos="1428" w:leader="none"/>
        </w:tabs>
        <w:spacing w:lineRule="auto" w:line="276" w:before="280" w:after="0"/>
        <w:ind w:left="1428" w:hanging="360"/>
        <w:rPr/>
      </w:pPr>
      <w:r>
        <w:rPr/>
        <w:t xml:space="preserve">przesunięcie </w:t>
      </w:r>
      <w:r>
        <w:rPr>
          <w:rStyle w:val="Strong"/>
        </w:rPr>
        <w:t>4 000,00 zł</w:t>
      </w:r>
      <w:r>
        <w:rPr/>
        <w:t xml:space="preserve"> z działu 600 do działu 75075,</w:t>
      </w:r>
    </w:p>
    <w:p>
      <w:pPr>
        <w:pStyle w:val="NormalWeb"/>
        <w:numPr>
          <w:ilvl w:val="0"/>
          <w:numId w:val="5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4 000,00 zł</w:t>
      </w:r>
      <w:r>
        <w:rPr/>
        <w:t xml:space="preserve"> na nagrody w projekcie „Rowerowa Stolica Polski”,</w:t>
      </w:r>
    </w:p>
    <w:p>
      <w:pPr>
        <w:pStyle w:val="NormalWeb"/>
        <w:numPr>
          <w:ilvl w:val="0"/>
          <w:numId w:val="5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6 350,00 zł</w:t>
      </w:r>
      <w:r>
        <w:rPr/>
        <w:t xml:space="preserve"> na serwis i zadaszenie paki auta OSP służącego do przewozu łodzi,</w:t>
      </w:r>
    </w:p>
    <w:p>
      <w:pPr>
        <w:pStyle w:val="NormalWeb"/>
        <w:numPr>
          <w:ilvl w:val="0"/>
          <w:numId w:val="5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12 934,00 zł</w:t>
      </w:r>
      <w:r>
        <w:rPr/>
        <w:t xml:space="preserve"> na modernizację boiska asfaltowego przy SP nr 4,</w:t>
      </w:r>
    </w:p>
    <w:p>
      <w:pPr>
        <w:pStyle w:val="NormalWeb"/>
        <w:numPr>
          <w:ilvl w:val="0"/>
          <w:numId w:val="5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155 694,00 zł</w:t>
      </w:r>
      <w:r>
        <w:rPr/>
        <w:t xml:space="preserve"> na zwiększenie odpisów na ZFŚS w szkołach podstawowych,</w:t>
      </w:r>
    </w:p>
    <w:p>
      <w:pPr>
        <w:pStyle w:val="NormalWeb"/>
        <w:numPr>
          <w:ilvl w:val="0"/>
          <w:numId w:val="5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42 075,00 zł</w:t>
      </w:r>
      <w:r>
        <w:rPr/>
        <w:t xml:space="preserve"> na zwiększenie planu w przedszkolach, w tym:</w:t>
      </w:r>
    </w:p>
    <w:p>
      <w:pPr>
        <w:pStyle w:val="NormalWeb"/>
        <w:numPr>
          <w:ilvl w:val="1"/>
          <w:numId w:val="5"/>
        </w:numPr>
        <w:tabs>
          <w:tab w:val="clear" w:pos="708"/>
          <w:tab w:val="left" w:pos="2148" w:leader="none"/>
        </w:tabs>
        <w:spacing w:lineRule="auto" w:line="276" w:before="0" w:after="0"/>
        <w:ind w:left="2148" w:hanging="360"/>
        <w:rPr/>
      </w:pPr>
      <w:r>
        <w:rPr>
          <w:rStyle w:val="Strong"/>
        </w:rPr>
        <w:t>34 905,54 zł</w:t>
      </w:r>
      <w:r>
        <w:rPr/>
        <w:t xml:space="preserve"> na wynagrodzenia w programie UE,</w:t>
      </w:r>
    </w:p>
    <w:p>
      <w:pPr>
        <w:pStyle w:val="NormalWeb"/>
        <w:numPr>
          <w:ilvl w:val="1"/>
          <w:numId w:val="5"/>
        </w:numPr>
        <w:tabs>
          <w:tab w:val="clear" w:pos="708"/>
          <w:tab w:val="left" w:pos="2148" w:leader="none"/>
        </w:tabs>
        <w:spacing w:lineRule="auto" w:line="276" w:before="0" w:after="0"/>
        <w:ind w:left="2148" w:hanging="360"/>
        <w:rPr/>
      </w:pPr>
      <w:r>
        <w:rPr>
          <w:rStyle w:val="Strong"/>
        </w:rPr>
        <w:t>11 234,46 zł</w:t>
      </w:r>
      <w:r>
        <w:rPr/>
        <w:t xml:space="preserve"> na współfinansowane wynagrodzenia,</w:t>
      </w:r>
    </w:p>
    <w:p>
      <w:pPr>
        <w:pStyle w:val="NormalWeb"/>
        <w:numPr>
          <w:ilvl w:val="1"/>
          <w:numId w:val="5"/>
        </w:numPr>
        <w:tabs>
          <w:tab w:val="clear" w:pos="708"/>
          <w:tab w:val="left" w:pos="2148" w:leader="none"/>
        </w:tabs>
        <w:spacing w:lineRule="auto" w:line="276" w:before="0" w:after="280"/>
        <w:ind w:left="2148" w:hanging="360"/>
        <w:rPr/>
      </w:pPr>
      <w:r>
        <w:rPr>
          <w:rStyle w:val="Strong"/>
        </w:rPr>
        <w:t>19 552,15 zł</w:t>
      </w:r>
      <w:r>
        <w:rPr/>
        <w:t xml:space="preserve"> i </w:t>
      </w:r>
      <w:r>
        <w:rPr>
          <w:rStyle w:val="Strong"/>
        </w:rPr>
        <w:t>9 236,92 zł</w:t>
      </w:r>
      <w:r>
        <w:rPr/>
        <w:t xml:space="preserve"> na wydatki statutowe.</w:t>
      </w:r>
    </w:p>
    <w:p>
      <w:pPr>
        <w:pStyle w:val="NormalWeb"/>
        <w:spacing w:lineRule="auto" w:line="276" w:before="280" w:after="280"/>
        <w:ind w:left="708" w:hanging="0"/>
        <w:rPr/>
      </w:pPr>
      <w:r>
        <w:rPr/>
        <w:t>Dalej wymienił mniejsze zmiany, m.in.: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280" w:after="0"/>
        <w:ind w:left="1428" w:hanging="360"/>
        <w:rPr/>
      </w:pPr>
      <w:r>
        <w:rPr>
          <w:rStyle w:val="Strong"/>
        </w:rPr>
        <w:t>6 990,00 zł</w:t>
      </w:r>
      <w:r>
        <w:rPr/>
        <w:t xml:space="preserve"> dla świetlic,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8 255,00 zł</w:t>
      </w:r>
      <w:r>
        <w:rPr/>
        <w:t xml:space="preserve"> dla liceów ogólnokształcących,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423,00 zł</w:t>
      </w:r>
      <w:r>
        <w:rPr/>
        <w:t xml:space="preserve"> dla stołówek,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6 855,00 zł</w:t>
      </w:r>
      <w:r>
        <w:rPr/>
        <w:t xml:space="preserve"> na zadania specjalne w przedszkolach,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47 838,00 zł</w:t>
      </w:r>
      <w:r>
        <w:rPr/>
        <w:t xml:space="preserve"> na pozostałą działalność oświatową,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35 975,45 zł</w:t>
      </w:r>
      <w:r>
        <w:rPr/>
        <w:t xml:space="preserve"> na przeciwdziałanie alkoholizmowi,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/>
        <w:t xml:space="preserve">zmniejszenie o </w:t>
      </w:r>
      <w:r>
        <w:rPr>
          <w:rStyle w:val="Strong"/>
        </w:rPr>
        <w:t>10 000,00 zł</w:t>
      </w:r>
      <w:r>
        <w:rPr/>
        <w:t xml:space="preserve"> w dziale zwalczania narkomanii,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>
          <w:rStyle w:val="Strong"/>
        </w:rPr>
        <w:t>587,00 zł</w:t>
      </w:r>
      <w:r>
        <w:rPr/>
        <w:t xml:space="preserve"> na pozostałą działalność w dziale 852,</w:t>
      </w:r>
    </w:p>
    <w:p>
      <w:pPr>
        <w:pStyle w:val="NormalWeb"/>
        <w:numPr>
          <w:ilvl w:val="0"/>
          <w:numId w:val="6"/>
        </w:numPr>
        <w:tabs>
          <w:tab w:val="clear" w:pos="708"/>
          <w:tab w:val="left" w:pos="1428" w:leader="none"/>
        </w:tabs>
        <w:spacing w:lineRule="auto" w:line="276" w:before="0" w:after="280"/>
        <w:ind w:left="1428" w:hanging="360"/>
        <w:rPr/>
      </w:pPr>
      <w:r>
        <w:rPr>
          <w:rStyle w:val="Strong"/>
        </w:rPr>
        <w:t>24 385,00 zł</w:t>
      </w:r>
      <w:r>
        <w:rPr/>
        <w:t xml:space="preserve"> na wczesne wspomaganie rozwoju dziecka.</w:t>
      </w:r>
    </w:p>
    <w:p>
      <w:pPr>
        <w:pStyle w:val="NormalWeb"/>
        <w:spacing w:lineRule="auto" w:line="276" w:before="280" w:after="280"/>
        <w:ind w:left="708" w:hanging="0"/>
        <w:rPr/>
      </w:pPr>
      <w:r>
        <w:rPr/>
        <w:t>Skarbnik zakończył przedstawienie projektu informacją o zmianach po stronie przychodów:</w:t>
      </w:r>
    </w:p>
    <w:p>
      <w:pPr>
        <w:pStyle w:val="NormalWeb"/>
        <w:numPr>
          <w:ilvl w:val="0"/>
          <w:numId w:val="7"/>
        </w:numPr>
        <w:tabs>
          <w:tab w:val="clear" w:pos="708"/>
          <w:tab w:val="left" w:pos="1428" w:leader="none"/>
        </w:tabs>
        <w:spacing w:lineRule="auto" w:line="276" w:before="280" w:after="0"/>
        <w:ind w:left="1428" w:hanging="360"/>
        <w:rPr/>
      </w:pPr>
      <w:r>
        <w:rPr/>
        <w:t xml:space="preserve">wprowadzeniem </w:t>
      </w:r>
      <w:r>
        <w:rPr>
          <w:rStyle w:val="Strong"/>
        </w:rPr>
        <w:t>50 174,10 zł</w:t>
      </w:r>
      <w:r>
        <w:rPr/>
        <w:t xml:space="preserve"> z niewykorzystanych środków na przeciwdziałanie alkoholizmowi,</w:t>
      </w:r>
    </w:p>
    <w:p>
      <w:pPr>
        <w:pStyle w:val="NormalWeb"/>
        <w:numPr>
          <w:ilvl w:val="0"/>
          <w:numId w:val="7"/>
        </w:numPr>
        <w:tabs>
          <w:tab w:val="clear" w:pos="708"/>
          <w:tab w:val="left" w:pos="1428" w:leader="none"/>
        </w:tabs>
        <w:spacing w:lineRule="auto" w:line="276" w:before="0" w:after="0"/>
        <w:ind w:left="1428" w:hanging="360"/>
        <w:rPr/>
      </w:pPr>
      <w:r>
        <w:rPr/>
        <w:t xml:space="preserve">zwiększeniem o </w:t>
      </w:r>
      <w:r>
        <w:rPr>
          <w:rStyle w:val="Strong"/>
        </w:rPr>
        <w:t>57 090,89 zł</w:t>
      </w:r>
      <w:r>
        <w:rPr/>
        <w:t xml:space="preserve"> środków z UE,</w:t>
      </w:r>
    </w:p>
    <w:p>
      <w:pPr>
        <w:pStyle w:val="NormalWeb"/>
        <w:numPr>
          <w:ilvl w:val="0"/>
          <w:numId w:val="7"/>
        </w:numPr>
        <w:tabs>
          <w:tab w:val="clear" w:pos="708"/>
          <w:tab w:val="left" w:pos="1428" w:leader="none"/>
        </w:tabs>
        <w:spacing w:lineRule="auto" w:line="276" w:before="0" w:after="280"/>
        <w:ind w:left="1428" w:hanging="360"/>
        <w:rPr/>
      </w:pPr>
      <w:r>
        <w:rPr/>
        <w:t xml:space="preserve">zmniejszeniem o </w:t>
      </w:r>
      <w:r>
        <w:rPr>
          <w:rStyle w:val="Strong"/>
        </w:rPr>
        <w:t>178 959,14 zł</w:t>
      </w:r>
      <w:r>
        <w:rPr/>
        <w:t xml:space="preserve"> zaangażowania wolnych środków na finansowanie deficytu.</w:t>
      </w:r>
    </w:p>
    <w:p>
      <w:pPr>
        <w:pStyle w:val="Nagwek3"/>
        <w:spacing w:lineRule="auto" w:line="276" w:before="280" w:after="280"/>
        <w:ind w:firstLine="708"/>
        <w:rPr>
          <w:sz w:val="24"/>
          <w:szCs w:val="24"/>
        </w:rPr>
      </w:pPr>
      <w:r>
        <w:rPr>
          <w:sz w:val="24"/>
          <w:szCs w:val="24"/>
        </w:rPr>
        <w:t>Dyskusja i pytania członków Komisji</w:t>
      </w:r>
    </w:p>
    <w:p>
      <w:pPr>
        <w:pStyle w:val="Nagwek3"/>
        <w:spacing w:lineRule="auto" w:line="276" w:before="280" w:after="28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Pytania Radnego Konrada Dominiaka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>Radny Konrad Dominiak zadał dwa pytania dotyczące szczegółów zmian budżetowych, które wzbudziły jego wątpliwości podczas omawiania projektu uchwały budżetowej na 2025 rok.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Pierwsze pytanie dotyczyło pozycji budżetowej w wysokości </w:t>
      </w:r>
      <w:r>
        <w:rPr>
          <w:rStyle w:val="Strong"/>
        </w:rPr>
        <w:t>12 934,00 zł</w:t>
      </w:r>
      <w:r>
        <w:rPr/>
        <w:t>, przeznaczonej na modernizację boiska asfaltowego przy Szkole Podstawowej nr 4. Radny dopytywał, czy jest to nowe zadanie, czy też rozszerzenie zakresu wcześniej zaplanowanych prac. W odpowiedzi Skarbnik Miasta wyjaśnił, że wskazana kwota jest uzupełnieniem budżetu przeznaczonego na realizację wcześniej zaplanowanego zadania inwestycyjnego. Dodatkowe środki są konieczne z uwagi na rozszerzenie zakresu robót oraz wzrost kosztów wykonania wynikający m.in. z rosnących kosztów minimalnych i rynkowych.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Drugie pytanie Radnego odnosiło się do kwoty </w:t>
      </w:r>
      <w:r>
        <w:rPr>
          <w:rStyle w:val="Strong"/>
        </w:rPr>
        <w:t>120 000,00 zł</w:t>
      </w:r>
      <w:r>
        <w:rPr/>
        <w:t xml:space="preserve"> zaplanowanej jako dotacja dla spółki LOSIR. Radny dopytywał o cel tego wydatku oraz czy nie stanowi on nieproporcjonalnego obciążenia dla budżetu. W odpowiedzi wskazano, że środki te wynikają z obowiązującego porozumienia zawartego pomiędzy Miastem Luboń a spółką LOSIR i przeznaczone są na refundację kosztów administrowania i zarządzania miejskimi obiektami sportowymi. Jednym z głównych składników tych kosztów jest podatek od nieruchomości.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>Wyjaśniono, że w wyniku zmian przepisów prawa – w tym wprowadzenia załącznika do ustawy o podatkach i opłatach lokalnych – istotnie rozszerzono katalog budowli podlegających opodatkowaniu. Załącznik ten szczegółowo określa elementy infrastruktury sportowej, takie jak m.in. ogrodzenia, namioty czy plandeki, które – jeśli są trwale związane z gruntem – uznaje się za budowle. W związku z tym spółka LOSIR była zobowiązana do dokonania korekty swojej deklaracji podatkowej i poniesienia wyższych kosztów podatkowych, które – zgodnie z zapisami porozumienia – zostały zrefundowane przez miasto.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Dodatkowo zaznaczono, że wystawiając faktury, spółka LOSIR dolicza podatek VAT, który musi zostać odprowadzony do urzędu skarbowego, a nie zawsze może być w całości odzyskany. Jak poinformowała Burmistrz Miasta, w 2023 roku spółka naliczyła </w:t>
      </w:r>
      <w:r>
        <w:rPr>
          <w:rStyle w:val="Strong"/>
        </w:rPr>
        <w:t>700 000 zł</w:t>
      </w:r>
      <w:r>
        <w:rPr/>
        <w:t xml:space="preserve"> podatku VAT należnego i mogła odliczyć jedynie </w:t>
      </w:r>
      <w:r>
        <w:rPr>
          <w:rStyle w:val="Strong"/>
        </w:rPr>
        <w:t>272 000 zł</w:t>
      </w:r>
      <w:r>
        <w:rPr/>
        <w:t xml:space="preserve"> VAT-u naliczonego, co skutkowało obowiązkiem odprowadzenia </w:t>
      </w:r>
      <w:r>
        <w:rPr>
          <w:rStyle w:val="Strong"/>
        </w:rPr>
        <w:t>434 000 zł</w:t>
      </w:r>
      <w:r>
        <w:rPr/>
        <w:t xml:space="preserve"> do urzędu skarbowego. Powodem tej różnicy jest fakt, że spółka ponosi również wiele kosztów, które nie podlegają opodatkowaniu VAT-em – takich jak wynagrodzenia pracowników, ubezpieczenia społeczne czy podatki lokalne.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 xml:space="preserve">Na zakończenie rozmowy poruszono również kwestię ewentualnego zwolnienia LOSIR z podatku od nieruchomości. </w:t>
      </w:r>
      <w:r>
        <w:rPr>
          <w:rStyle w:val="Strong"/>
        </w:rPr>
        <w:t>Skarbnik Miasta, Pan Mirosław Stromczyński, poinformował</w:t>
      </w:r>
      <w:r>
        <w:rPr/>
        <w:t>, że projekt uchwały w tej sprawie jest w przygotowaniu i zostanie przekazany do konsultacji z Urzędem Ochrony Konkurencji i Konsumentów (UOKiK). Jeżeli opinia UOKiK będzie pozytywna, planowane jest wprowadzenie uchwały jeszcze w 2025 roku, z wejściem w życie od nowego roku podatkowego. Jednocześnie zaznaczył, że zwolnienie miałoby dotyczyć wyłącznie spółki LOSIR i nie obejmowałoby innych podmiotów.</w:t>
      </w:r>
    </w:p>
    <w:p>
      <w:pPr>
        <w:pStyle w:val="Nagwek3"/>
        <w:spacing w:lineRule="auto" w:line="276" w:before="280" w:after="28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Pytanie Radnej Moniki Nawrot dotyczące terenów PKP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>Radna Monika Nawrot zadała pytanie dotyczące opodatkowania terenów zamkniętych należących do Polskich Kolei Państwowych (PKP). Dopytywała, czy grunty kolejowe znajdujące się na terenie miasta Luboń są objęte podatkiem od nieruchomości i czy PKP uiszcza z tego tytułu stosowne należności.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>W odpowiedzi Skarbnik Miasta wyjaśnił, że część terenów kolejowych faktycznie korzysta ze zwolnień ustawowych – dotyczy to przede wszystkim gruntów bezpośrednio zajętych pod infrastrukturę torową. W przeszłości obowiązywała interpretacja umożliwiająca zwolnienie całej działki, nawet jeśli tylko jej część była zajęta przez tory. Obecnie jednak interpretacja ta uległa zawężeniu i zwolnienia stosowane są wyłącznie do tej części działki, która faktycznie pełni funkcję kolejową.</w:t>
      </w:r>
    </w:p>
    <w:p>
      <w:pPr>
        <w:pStyle w:val="NormalWeb"/>
        <w:spacing w:lineRule="auto" w:line="276" w:before="280" w:after="280"/>
        <w:ind w:left="708" w:hanging="0"/>
        <w:jc w:val="both"/>
        <w:rPr/>
      </w:pPr>
      <w:r>
        <w:rPr/>
        <w:t>Radna Nawrot wskazała również na rosnącą uciążliwość działalności prowadzonej na terenach przyległych do torów, szczególnie w rejonie ulicy Armii Poznań. Zwróciła uwagę na częste rozładunki kruszyw i zwiększony ruch ciężarówek – sięgający nawet kilkunastu pojazdów jednocześnie. Zgłoszono zastrzeżenia dotyczące hałasu, pyłu i ogólnej uciążliwości działalności transportowej prowadzonej przez prywatnego przedsiębiorcę, który wynajmuje teren od PKP.</w:t>
      </w:r>
    </w:p>
    <w:p>
      <w:pPr>
        <w:pStyle w:val="Nagwek3"/>
        <w:spacing w:lineRule="auto" w:line="276" w:before="280" w:after="280"/>
        <w:ind w:left="705" w:hanging="0"/>
        <w:jc w:val="both"/>
        <w:rPr>
          <w:sz w:val="24"/>
          <w:szCs w:val="24"/>
        </w:rPr>
      </w:pPr>
      <w:r>
        <w:rPr>
          <w:sz w:val="24"/>
          <w:szCs w:val="24"/>
        </w:rPr>
        <w:t>Pytanie Radnego Macieja Różańskiego dotyczące wydatków na przeciwdziałanie alkoholizmowi i narkomanii</w:t>
      </w:r>
    </w:p>
    <w:p>
      <w:pPr>
        <w:pStyle w:val="Normal"/>
        <w:spacing w:lineRule="auto" w:line="276" w:beforeAutospacing="1" w:afterAutospacing="1"/>
        <w:ind w:left="705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Radny Maciej Różański zwrócił uwagę na zmiany w dziale 851 „Ochrona zdrowia”, a w szczególności na przesunięcia w rozdziałach 85154 „Przeciwdziałanie alkoholizmowi” i 85153 „Zwalczanie narkomanii”. Zadał pytanie, z czego wynika zwiększenie wydatków na przeciwdziałanie alkoholizmowi 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35 975,45 zł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, a także dlaczego wydatki na zwalczanie narkomanii zostały całkowicie zredukowane – z pierwotnie zaplanowanej kwoty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10 000,00 zł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do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0,00 zł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</w:t>
      </w:r>
    </w:p>
    <w:p>
      <w:pPr>
        <w:pStyle w:val="Normal"/>
        <w:spacing w:lineRule="auto" w:line="276" w:beforeAutospacing="1" w:afterAutospacing="1"/>
        <w:ind w:left="705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Skarbnik Miasta wyjaśnił, że kwota zwiększająca plan wydatków na przeciwdziałanie alkoholizmowi została sfinansowana z niewykorzystanych środków z lat ubiegłych oraz bieżących wpływów z opłat za wydawanie zezwoleń na sprzedaż alkoholu. Podkreślił, że środki te są tzw. środkami znaczonego przeznaczenia i muszą być wydatkowane zgodnie z zapisami ustawowymi – wyłącznie na działania związane z przeciwdziałaniem uzależnieniom, zarówno alkoholowym, jak i narkotykowym.</w:t>
      </w:r>
    </w:p>
    <w:p>
      <w:pPr>
        <w:pStyle w:val="Normal"/>
        <w:spacing w:lineRule="auto" w:line="276" w:beforeAutospacing="1" w:afterAutospacing="1"/>
        <w:ind w:left="705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odniesieniu do redukcji środków na zwalczanie narkomanii Skarbnik poinformował, że działania te nie zostały zawieszone, a jedynie ujęto je całościowo w ramach jednego programu przeciwdziałania uzależnieniom. Rozdzielenie środków na osobne rozdziały (alkoholizm i narkomania) powodowało komplikacje natury księgowej, zwłaszcza przy rozliczaniu faktur za wspólne działania, takie jak terapie, programy edukacyjne czy zajęcia profilaktyczne. Z tego względu zrezygnowano z wyodrębnienia pozycji „Zwalczanie narkomanii”, mimo że działania w tym zakresie są kontynuowane.</w:t>
      </w:r>
    </w:p>
    <w:p>
      <w:pPr>
        <w:pStyle w:val="Normal"/>
        <w:spacing w:lineRule="auto" w:line="276" w:beforeAutospacing="1" w:afterAutospacing="1"/>
        <w:ind w:left="705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Radny Maciej Różański zaznaczył, że całkowite wyzerowanie rozdziału 85153 może budzić wrażenie, jakoby problem uzależnień narkotykowych nie istniał w mieście, co nie odpowiada rzeczywistości. Podkreślił również, że obecny zapis może być nieczytelny dla odbiorców zewnętrznych i wymaga dodatkowego komentarza.</w:t>
      </w:r>
    </w:p>
    <w:p>
      <w:pPr>
        <w:pStyle w:val="Normal"/>
        <w:spacing w:lineRule="auto" w:line="276" w:beforeAutospacing="1" w:afterAutospacing="1"/>
        <w:ind w:left="705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Radna Teresa Zygmanowska uzupełniła, że zgodnie z przekazanymi wcześniej informacjami ze strony Komisji Sfery Społecznej, od kwietnia bieżącego roku realizowany jest nowy program terapeutyczny adresowany do młodzieży z problemami uzależnień. Program ten, prowadzony w cyklu kilkumiesięcznym, ma na celu wsparcie młodych osób w zakresie profilaktyki i terapii uzależnień.</w:t>
      </w:r>
    </w:p>
    <w:p>
      <w:pPr>
        <w:pStyle w:val="Normal"/>
        <w:spacing w:lineRule="auto" w:line="276" w:beforeAutospacing="1" w:afterAutospacing="1"/>
        <w:ind w:left="705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podsumowaniu podniesiono, że obecny sposób ujęcia wydatków jest bardziej funkcjonalny z punktu widzenia księgowego i sprawozdawczego, natomiast wszystkie działania terapeutyczne, profilaktyczne i edukacyjne – zarówno dotyczące uzależnień od alkoholu, jak i narkotyków – są realizowane w ramach wspólnej puli środków ujętej w rozdziale 85154.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Po przedstawieniu projektu uchwały i zakończeniu dyskusji przewodnicząca komisji zarządziła głosowanie.</w:t>
      </w:r>
    </w:p>
    <w:p>
      <w:pPr>
        <w:pStyle w:val="Normal"/>
        <w:spacing w:lineRule="auto" w:line="276" w:beforeAutospacing="1" w:afterAutospacing="1"/>
        <w:ind w:firstLine="708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wyniku głosowania:</w:t>
      </w:r>
    </w:p>
    <w:p>
      <w:pPr>
        <w:pStyle w:val="Normal"/>
        <w:numPr>
          <w:ilvl w:val="0"/>
          <w:numId w:val="3"/>
        </w:numPr>
        <w:spacing w:lineRule="auto" w:line="276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9 członków komisji opowiedziało się za pozytywnym zaopiniowaniem projektu uchwały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,</w:t>
      </w:r>
    </w:p>
    <w:p>
      <w:pPr>
        <w:pStyle w:val="Normal"/>
        <w:numPr>
          <w:ilvl w:val="0"/>
          <w:numId w:val="3"/>
        </w:numPr>
        <w:spacing w:lineRule="auto" w:line="276" w:before="0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1 osoba była nieobecna (Elżbieta Zapłata-Szwedziak)</w:t>
      </w:r>
    </w:p>
    <w:p>
      <w:pPr>
        <w:pStyle w:val="Normal"/>
        <w:spacing w:lineRule="auto" w:line="276" w:beforeAutospacing="1" w:afterAutospacing="1"/>
        <w:ind w:firstLine="708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Wynik głosowania: projekt uchwały został zaopiniowany pozytywnie.</w:t>
      </w:r>
    </w:p>
    <w:p>
      <w:pPr>
        <w:pStyle w:val="Normal"/>
        <w:numPr>
          <w:ilvl w:val="0"/>
          <w:numId w:val="0"/>
        </w:numPr>
        <w:spacing w:lineRule="auto" w:line="276" w:beforeAutospacing="1" w:afterAutospacing="1"/>
        <w:ind w:left="708" w:hanging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pl-PL"/>
        </w:rPr>
        <w:t>4. Omówienie projektu uchwały w sprawie zmiany Wieloletniej Prognozy Finansowej Miasta Luboń na lata 2025–2044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kolejnym punkcie posiedzenia Komisji Budżetu i Finansów przystąpiono do rozpatrzenia projektu uchwały zmieniającej Wieloletnią Prognozę Finansową Miasta Luboń na lata 2025–2044. Projekt przedstawił Skarbnik Miasta Luboń, Pan Mirosław Stromczyński.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Skarbnik poinformował, że zmiana WPF związana jest m.in. z koniecznością uzupełnienia dokumentu o dodatkowy zapis dotyczący ujęcia kwoty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383 133,83 zł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, wynikającej z wkładu własnego Miasta Luboń w ramach realizacji zadania inwestycyjnego finansowanego z Krajowego Planu Odbudowy. Jak wyjaśnił, wartość ta została już wcześniej zapisana w uchwale budżetowej oraz omawiana na poprzednich sesjach Rady Miasta, jednak Regionalna Izba Obrachunkowa zwróciła się z prośbą o jej wyraźne wskazanie również w treści WPF.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związku z tym, dla zachowania przejrzystości i spójności dokumentacji finansowej oraz w celu spełnienia wymogów formalnych, do załącznika do uchwały wprowadzono odpowiednią aktualizację. Skarbnik podkreślił, że zapis ten nie wprowadza nowych zobowiązań finansowych, a jedynie porządkuje i doprecyzowuje już istniejące zapisy wynikające z realizowanych przedsięwzięć inwestycyjnych.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Skarbnik zaznaczył również, że załączniki nr 1 i 2 do uchwały zostały zaktualizowane zgodnie z nowymi danymi finansowymi, a cała aktualizacja nie wpływa na zobowiązania miasta ani na kształt wskaźników wynikających z ustawy o finansach publicznych.</w:t>
      </w:r>
    </w:p>
    <w:p>
      <w:pPr>
        <w:pStyle w:val="Normal"/>
        <w:spacing w:lineRule="auto" w:line="276" w:beforeAutospacing="1" w:afterAutospacing="1"/>
        <w:ind w:left="708" w:hanging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Członkowie Komisji nie zgłosili pytań ani uwag do przedstawionego projektu uchwały w sprawie zmiany Wieloletniej Prognozy Finansowej.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Przewodnicząca Komisji zarządziła głosowanie nad pozytywnym zaopiniowaniem projektu uchwały. W wyniku głosowania:</w:t>
      </w:r>
    </w:p>
    <w:p>
      <w:pPr>
        <w:pStyle w:val="Normal"/>
        <w:numPr>
          <w:ilvl w:val="0"/>
          <w:numId w:val="8"/>
        </w:numPr>
        <w:spacing w:lineRule="auto" w:line="276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7 członków Komisji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opowiedziało się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za pozytywnym zaopiniowaniem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projektu,</w:t>
      </w:r>
    </w:p>
    <w:p>
      <w:pPr>
        <w:pStyle w:val="Normal"/>
        <w:numPr>
          <w:ilvl w:val="0"/>
          <w:numId w:val="8"/>
        </w:numPr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2 członków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wstrzymało się od głosu (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Maciej Różański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Monika Nawrot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),</w:t>
      </w:r>
    </w:p>
    <w:p>
      <w:pPr>
        <w:pStyle w:val="Normal"/>
        <w:numPr>
          <w:ilvl w:val="0"/>
          <w:numId w:val="8"/>
        </w:numPr>
        <w:spacing w:lineRule="auto" w:line="276" w:before="0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1 osoba była nieobecna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(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Elżbieta Zapłata-Szwedziak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).</w:t>
      </w:r>
    </w:p>
    <w:p>
      <w:pPr>
        <w:pStyle w:val="Normal"/>
        <w:spacing w:lineRule="auto" w:line="276" w:beforeAutospacing="1" w:afterAutospacing="1"/>
        <w:ind w:left="360" w:firstLine="3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Strong"/>
          <w:rFonts w:cs="Times New Roman" w:ascii="Times New Roman" w:hAnsi="Times New Roman"/>
          <w:sz w:val="24"/>
          <w:szCs w:val="24"/>
          <w:u w:val="single"/>
        </w:rPr>
        <w:t>5. Głosowanie nad pr</w:t>
      </w:r>
      <w:bookmarkStart w:id="0" w:name="_GoBack"/>
      <w:bookmarkEnd w:id="0"/>
      <w:r>
        <w:rPr>
          <w:rStyle w:val="Strong"/>
          <w:rFonts w:cs="Times New Roman" w:ascii="Times New Roman" w:hAnsi="Times New Roman"/>
          <w:sz w:val="24"/>
          <w:szCs w:val="24"/>
          <w:u w:val="single"/>
        </w:rPr>
        <w:t xml:space="preserve">zyjęciem protokołu 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Komisja Budżetu i Finansów przystąpiła do głosowania nad przyjęciem protokołu nr 9 z posiedzenia, które odbyło się w dniu 11 grudnia 2024 roku.</w:t>
      </w:r>
    </w:p>
    <w:p>
      <w:pPr>
        <w:pStyle w:val="Normal"/>
        <w:spacing w:lineRule="auto" w:line="276" w:beforeAutospacing="1" w:afterAutospacing="1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głosowaniu nad przyjęciem protokołu wzięło udział 9 radnych – wszyscy radni zagłosowali za przyjęciem protokołu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nr 9 z dnia 11 grudnia 2024 roku</w:t>
      </w:r>
    </w:p>
    <w:p>
      <w:pPr>
        <w:pStyle w:val="Standard"/>
        <w:spacing w:lineRule="auto" w:line="276"/>
        <w:ind w:firstLine="708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>
        <w:rPr>
          <w:rFonts w:cs="Times New Roman"/>
          <w:b/>
          <w:bCs/>
          <w:sz w:val="24"/>
          <w:szCs w:val="24"/>
          <w:u w:val="single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>
        <w:rPr>
          <w:rStyle w:val="Fontstyle01"/>
          <w:rFonts w:cs="Times New Roman"/>
          <w:b/>
          <w:bCs/>
          <w:sz w:val="24"/>
          <w:szCs w:val="24"/>
          <w:u w:val="single"/>
          <w:lang w:val="pl-PL"/>
        </w:rPr>
        <w:t>6. Wolne głosy i wnioski</w:t>
      </w:r>
    </w:p>
    <w:p>
      <w:pPr>
        <w:pStyle w:val="Standard"/>
        <w:spacing w:lineRule="auto" w:line="276"/>
        <w:ind w:firstLine="708"/>
        <w:jc w:val="both"/>
        <w:rPr>
          <w:rStyle w:val="Fontstyle01"/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Style w:val="Fontstyle01"/>
          <w:rFonts w:cs="Times New Roman"/>
          <w:bCs/>
          <w:sz w:val="24"/>
          <w:szCs w:val="24"/>
          <w:lang w:val="pl-PL"/>
        </w:rPr>
        <w:t>W tym punkcie posiedzenia nikt nie zabrał głosu.</w:t>
      </w:r>
    </w:p>
    <w:p>
      <w:pPr>
        <w:pStyle w:val="Standard"/>
        <w:spacing w:lineRule="auto" w:line="276"/>
        <w:ind w:firstLine="708"/>
        <w:jc w:val="both"/>
        <w:rPr>
          <w:rStyle w:val="Fontstyle01"/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cs="Times New Roman"/>
          <w:bCs/>
          <w:sz w:val="24"/>
          <w:szCs w:val="24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>
        <w:rPr>
          <w:rFonts w:cs="Times New Roman"/>
          <w:b/>
          <w:bCs/>
          <w:sz w:val="24"/>
          <w:szCs w:val="24"/>
          <w:u w:val="single"/>
          <w:lang w:val="pl-PL"/>
        </w:rPr>
      </w:r>
    </w:p>
    <w:p>
      <w:pPr>
        <w:pStyle w:val="Standard"/>
        <w:spacing w:lineRule="auto" w:line="276"/>
        <w:ind w:firstLine="708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>
        <w:rPr>
          <w:rStyle w:val="Fontstyle01"/>
          <w:rFonts w:cs="Times New Roman"/>
          <w:b/>
          <w:bCs/>
          <w:sz w:val="24"/>
          <w:szCs w:val="24"/>
          <w:u w:val="single"/>
          <w:lang w:val="pl-PL"/>
        </w:rPr>
        <w:t>7. Zakończenie posiedzenia</w:t>
      </w:r>
    </w:p>
    <w:p>
      <w:pPr>
        <w:pStyle w:val="Normal"/>
        <w:spacing w:lineRule="auto" w:line="276" w:beforeAutospacing="1" w:afterAutospacing="1"/>
        <w:ind w:left="30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Komisja zakończyła swoją pracę o godzinie 17:35.</w:t>
      </w:r>
    </w:p>
    <w:p>
      <w:pPr>
        <w:pStyle w:val="Normal"/>
        <w:spacing w:lineRule="auto" w:line="276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Standard"/>
        <w:spacing w:lineRule="auto" w:line="276"/>
        <w:ind w:firstLine="705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5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5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Standard"/>
        <w:spacing w:lineRule="auto" w:line="276"/>
        <w:ind w:firstLine="705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Sekretarz Komisji </w:t>
        <w:tab/>
        <w:tab/>
        <w:tab/>
        <w:tab/>
        <w:tab/>
        <w:tab/>
        <w:t>Przewodnicząca Komisji</w:t>
      </w:r>
    </w:p>
    <w:p>
      <w:pPr>
        <w:pStyle w:val="Standard"/>
        <w:spacing w:lineRule="auto" w:line="276"/>
        <w:ind w:firstLine="708"/>
        <w:jc w:val="both"/>
        <w:rPr>
          <w:rStyle w:val="Fontstyle01"/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cs="Times New Roman"/>
          <w:lang w:val="pl-PL"/>
        </w:rPr>
        <w:t xml:space="preserve">Maciej Różański </w:t>
        <w:tab/>
        <w:tab/>
        <w:tab/>
        <w:tab/>
        <w:tab/>
        <w:tab/>
        <w:t>Katarzyna Ekwińska</w:t>
        <w:tab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imesNewRomanPSM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2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88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48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508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868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228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588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948" w:hanging="360"/>
      </w:pPr>
      <w:rPr/>
    </w:lvl>
  </w:abstractNum>
  <w:abstractNum w:abstractNumId="2"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)"/>
      <w:lvlJc w:val="left"/>
      <w:pPr>
        <w:tabs>
          <w:tab w:val="num" w:pos="0"/>
        </w:tabs>
        <w:ind w:left="1070" w:hanging="360"/>
      </w:pPr>
      <w:rPr>
        <w:rFonts w:eastAsia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54b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3">
    <w:name w:val="Heading 3"/>
    <w:basedOn w:val="Normal"/>
    <w:link w:val="Nagwek3Znak"/>
    <w:uiPriority w:val="9"/>
    <w:qFormat/>
    <w:rsid w:val="0013218f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b83ee9"/>
    <w:rPr>
      <w:rFonts w:ascii="TimesNewRomanPSMT" w:hAnsi="TimesNewRomanPSMT"/>
      <w:b w:val="false"/>
      <w:bCs w:val="false"/>
      <w:i w:val="false"/>
      <w:iCs w:val="false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rsid w:val="006f6dd9"/>
    <w:rPr>
      <w:b/>
      <w:bCs/>
    </w:rPr>
  </w:style>
  <w:style w:type="character" w:styleId="Wyrnienie">
    <w:name w:val="Emphasis"/>
    <w:basedOn w:val="DefaultParagraphFont"/>
    <w:uiPriority w:val="20"/>
    <w:qFormat/>
    <w:rsid w:val="00a10db8"/>
    <w:rPr>
      <w:i/>
      <w:iCs/>
    </w:rPr>
  </w:style>
  <w:style w:type="character" w:styleId="Nagwek3Znak" w:customStyle="1">
    <w:name w:val="Nagłówek 3 Znak"/>
    <w:basedOn w:val="DefaultParagraphFont"/>
    <w:uiPriority w:val="9"/>
    <w:qFormat/>
    <w:rsid w:val="0013218f"/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83ee9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83ee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NormalWeb">
    <w:name w:val="Normal (Web)"/>
    <w:basedOn w:val="Normal"/>
    <w:uiPriority w:val="99"/>
    <w:unhideWhenUsed/>
    <w:qFormat/>
    <w:rsid w:val="00c570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LibreOffice/7.5.4.2$Windows_X86_64 LibreOffice_project/36ccfdc35048b057fd9854c757a8b67ec53977b6</Application>
  <AppVersion>15.0000</AppVersion>
  <Pages>7</Pages>
  <Words>2330</Words>
  <Characters>14820</Characters>
  <CharactersWithSpaces>17011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2025-05-18T22:33:00Z</dcterms:created>
  <dc:creator>Różański Maciej</dc:creator>
  <dc:description/>
  <dc:language>pl-PL</dc:language>
  <cp:lastModifiedBy>Różański Maciej</cp:lastModifiedBy>
  <dcterms:modified xsi:type="dcterms:W3CDTF">2025-05-18T22:33:00Z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