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spacing w:lineRule="auto" w:line="276"/>
        <w:jc w:val="center"/>
        <w:rPr>
          <w:rFonts w:cs="Times New Roman"/>
          <w:b/>
          <w:bCs/>
          <w:sz w:val="28"/>
          <w:lang w:val="pl-PL"/>
        </w:rPr>
      </w:pPr>
      <w:r>
        <w:rPr>
          <w:rFonts w:cs="Times New Roman"/>
          <w:b/>
          <w:bCs/>
          <w:sz w:val="28"/>
          <w:lang w:val="pl-PL"/>
        </w:rPr>
        <w:t>PROTOKÓŁ NR 11/2025</w:t>
      </w:r>
    </w:p>
    <w:p>
      <w:pPr>
        <w:pStyle w:val="Standard"/>
        <w:spacing w:lineRule="auto" w:line="276"/>
        <w:jc w:val="center"/>
        <w:rPr>
          <w:rFonts w:cs="Times New Roman"/>
          <w:b/>
          <w:bCs/>
          <w:sz w:val="28"/>
          <w:lang w:val="pl-PL"/>
        </w:rPr>
      </w:pPr>
      <w:r>
        <w:rPr>
          <w:rFonts w:cs="Times New Roman"/>
          <w:b/>
          <w:bCs/>
          <w:sz w:val="28"/>
          <w:lang w:val="pl-PL"/>
        </w:rPr>
        <w:t>POSIEDZENIA KOMISJI BUDŻETU I FINANSÓW</w:t>
      </w:r>
    </w:p>
    <w:p>
      <w:pPr>
        <w:pStyle w:val="Standard"/>
        <w:spacing w:lineRule="auto" w:line="276"/>
        <w:jc w:val="center"/>
        <w:rPr>
          <w:rFonts w:cs="Times New Roman"/>
          <w:b/>
          <w:bCs/>
          <w:sz w:val="28"/>
          <w:lang w:val="pl-PL"/>
        </w:rPr>
      </w:pPr>
      <w:r>
        <w:rPr>
          <w:rFonts w:cs="Times New Roman"/>
          <w:b/>
          <w:bCs/>
          <w:sz w:val="28"/>
          <w:lang w:val="pl-PL"/>
        </w:rPr>
        <w:t>Z DNIA 12.03.2025</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Dnia 12 marca 2025 o godzinie 16:00 odbyło się posiedzenie Komisji Budżetu i Finansów, które składało się z dwóch części:</w:t>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I cześć – Przegląd gospodarki finansowej jednostki dotowanej z Budżetu Miasta Luboń za rok 2024 - Przedszkole nr 1 w Luboniu</w:t>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II cześć – opiniowanie uchwał na Sesję Rady Miasta</w:t>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Standard"/>
        <w:spacing w:lineRule="auto" w:line="276"/>
        <w:jc w:val="both"/>
        <w:rPr>
          <w:rFonts w:cs="Times New Roman"/>
          <w:b/>
          <w:lang w:val="pl-PL"/>
        </w:rPr>
      </w:pPr>
      <w:r>
        <w:rPr>
          <w:rFonts w:cs="Times New Roman"/>
          <w:b/>
          <w:lang w:val="pl-PL"/>
        </w:rPr>
        <w:t>Porządek obrad:</w:t>
      </w:r>
    </w:p>
    <w:p>
      <w:pPr>
        <w:pStyle w:val="Standard"/>
        <w:numPr>
          <w:ilvl w:val="0"/>
          <w:numId w:val="1"/>
        </w:numPr>
        <w:spacing w:lineRule="auto" w:line="276"/>
        <w:jc w:val="both"/>
        <w:rPr>
          <w:rStyle w:val="Fontstyle01"/>
          <w:rFonts w:ascii="Times New Roman" w:hAnsi="Times New Roman" w:cs="Times New Roman"/>
          <w:color w:val="auto"/>
          <w:sz w:val="24"/>
          <w:szCs w:val="24"/>
          <w:lang w:val="pl-PL"/>
        </w:rPr>
      </w:pPr>
      <w:r>
        <w:rPr>
          <w:rStyle w:val="Fontstyle01"/>
          <w:rFonts w:cs="Times New Roman"/>
          <w:color w:val="auto"/>
          <w:sz w:val="24"/>
          <w:szCs w:val="24"/>
          <w:lang w:val="pl-PL"/>
        </w:rPr>
        <w:t>Otwarcie obrad komisji i stwierdzenie quorum.</w:t>
      </w:r>
    </w:p>
    <w:p>
      <w:pPr>
        <w:pStyle w:val="Standard"/>
        <w:numPr>
          <w:ilvl w:val="0"/>
          <w:numId w:val="1"/>
        </w:numPr>
        <w:spacing w:lineRule="auto" w:line="276"/>
        <w:jc w:val="both"/>
        <w:rPr>
          <w:rFonts w:cs="Times New Roman"/>
          <w:lang w:val="pl-PL"/>
        </w:rPr>
      </w:pPr>
      <w:r>
        <w:rPr>
          <w:rFonts w:cs="Times New Roman"/>
          <w:lang w:val="pl-PL"/>
        </w:rPr>
        <w:t>Przegląd gospodarki finansowej jednostki dotowanej z Budżetu Miasta Luboń za rok 2024 - Przedszkole nr 1 w Luboniu</w:t>
      </w:r>
    </w:p>
    <w:p>
      <w:pPr>
        <w:pStyle w:val="ListParagraph"/>
        <w:numPr>
          <w:ilvl w:val="0"/>
          <w:numId w:val="1"/>
        </w:numPr>
        <w:spacing w:lineRule="auto" w:line="276" w:before="0" w:after="0"/>
        <w:contextualSpacing/>
        <w:jc w:val="both"/>
        <w:rPr>
          <w:rStyle w:val="Fontstyle01"/>
          <w:rFonts w:ascii="Times New Roman" w:hAnsi="Times New Roman" w:cs="Times New Roman"/>
          <w:color w:val="auto"/>
          <w:sz w:val="24"/>
          <w:szCs w:val="24"/>
          <w:lang w:eastAsia="ja-JP" w:bidi="fa-IR"/>
        </w:rPr>
      </w:pPr>
      <w:r>
        <w:rPr>
          <w:rStyle w:val="Fontstyle01"/>
          <w:rFonts w:cs="Times New Roman" w:ascii="Times New Roman" w:hAnsi="Times New Roman"/>
          <w:color w:val="auto"/>
          <w:sz w:val="24"/>
          <w:szCs w:val="24"/>
          <w:lang w:eastAsia="ja-JP" w:bidi="fa-IR"/>
        </w:rPr>
        <w:t>Opiniowanie projektu uchwały w sprawie udzielenia pomocy finansowej Powiatowi Poznańskiemu (na funkcjonowanie izby wytrzeźwień)</w:t>
      </w:r>
    </w:p>
    <w:p>
      <w:pPr>
        <w:pStyle w:val="Standard"/>
        <w:numPr>
          <w:ilvl w:val="0"/>
          <w:numId w:val="1"/>
        </w:numPr>
        <w:spacing w:lineRule="auto" w:line="276"/>
        <w:jc w:val="both"/>
        <w:rPr>
          <w:rStyle w:val="Fontstyle01"/>
          <w:rFonts w:ascii="Times New Roman" w:hAnsi="Times New Roman" w:cs="Times New Roman"/>
          <w:color w:val="auto"/>
          <w:sz w:val="24"/>
          <w:szCs w:val="24"/>
          <w:lang w:val="pl-PL"/>
        </w:rPr>
      </w:pPr>
      <w:r>
        <w:rPr>
          <w:rStyle w:val="Fontstyle01"/>
          <w:rFonts w:cs="Times New Roman"/>
          <w:color w:val="auto"/>
          <w:sz w:val="24"/>
          <w:szCs w:val="24"/>
          <w:lang w:val="pl-PL"/>
        </w:rPr>
        <w:t>Opiniowanie projektu uchwały w sprawie diet miesięcznych dla radnych Rady Miasta Luboń</w:t>
      </w:r>
    </w:p>
    <w:p>
      <w:pPr>
        <w:pStyle w:val="Standard"/>
        <w:numPr>
          <w:ilvl w:val="0"/>
          <w:numId w:val="1"/>
        </w:numPr>
        <w:spacing w:lineRule="auto" w:line="276"/>
        <w:jc w:val="both"/>
        <w:rPr>
          <w:rStyle w:val="Fontstyle01"/>
          <w:rFonts w:ascii="Times New Roman" w:hAnsi="Times New Roman" w:cs="Times New Roman"/>
          <w:color w:val="auto"/>
          <w:sz w:val="24"/>
          <w:szCs w:val="24"/>
          <w:lang w:val="pl-PL"/>
        </w:rPr>
      </w:pPr>
      <w:r>
        <w:rPr>
          <w:rStyle w:val="Fontstyle01"/>
          <w:rFonts w:cs="Times New Roman"/>
          <w:color w:val="auto"/>
          <w:sz w:val="24"/>
          <w:szCs w:val="24"/>
          <w:lang w:val="pl-PL"/>
        </w:rPr>
        <w:t>Opiniowanie projektu uchwały w sprawie ustalenia wysokości stawki za korzystanie przez radnego z samochodu prywatnego w podróży służbowej i zwrotu kosztów przejazdów</w:t>
      </w:r>
    </w:p>
    <w:p>
      <w:pPr>
        <w:pStyle w:val="Standard"/>
        <w:numPr>
          <w:ilvl w:val="0"/>
          <w:numId w:val="1"/>
        </w:numPr>
        <w:spacing w:lineRule="auto" w:line="276"/>
        <w:jc w:val="both"/>
        <w:rPr>
          <w:rStyle w:val="Fontstyle01"/>
          <w:rFonts w:ascii="Times New Roman" w:hAnsi="Times New Roman" w:cs="Times New Roman"/>
          <w:color w:val="auto"/>
          <w:sz w:val="24"/>
          <w:szCs w:val="24"/>
          <w:lang w:val="pl-PL"/>
        </w:rPr>
      </w:pPr>
      <w:r>
        <w:rPr>
          <w:rStyle w:val="Fontstyle01"/>
          <w:rFonts w:cs="Times New Roman"/>
          <w:color w:val="auto"/>
          <w:sz w:val="24"/>
          <w:szCs w:val="24"/>
          <w:lang w:val="pl-PL"/>
        </w:rPr>
        <w:t>Opiniowanie projektu uchwały w sprawie zmiany uchwały budżetowej Miasta Luboń na 2025 rok (wraz z autopoprawką)</w:t>
      </w:r>
    </w:p>
    <w:p>
      <w:pPr>
        <w:pStyle w:val="Standard"/>
        <w:numPr>
          <w:ilvl w:val="0"/>
          <w:numId w:val="1"/>
        </w:numPr>
        <w:spacing w:lineRule="auto" w:line="276"/>
        <w:jc w:val="both"/>
        <w:rPr>
          <w:rStyle w:val="Fontstyle01"/>
          <w:rFonts w:ascii="Times New Roman" w:hAnsi="Times New Roman" w:cs="Times New Roman"/>
          <w:color w:val="auto"/>
          <w:sz w:val="24"/>
          <w:szCs w:val="24"/>
          <w:lang w:val="pl-PL"/>
        </w:rPr>
      </w:pPr>
      <w:r>
        <w:rPr>
          <w:rStyle w:val="Fontstyle01"/>
          <w:rFonts w:cs="Times New Roman"/>
          <w:color w:val="auto"/>
          <w:sz w:val="24"/>
          <w:szCs w:val="24"/>
          <w:lang w:val="pl-PL"/>
        </w:rPr>
        <w:t>Opiniowanie projektu uchwały w sprawie zmiany Wieloletniej Prognozy Finansowej Miasta Luboń na lata 2025–2044</w:t>
      </w:r>
    </w:p>
    <w:p>
      <w:pPr>
        <w:pStyle w:val="ListParagraph"/>
        <w:numPr>
          <w:ilvl w:val="0"/>
          <w:numId w:val="1"/>
        </w:numPr>
        <w:spacing w:lineRule="auto" w:line="276" w:before="0" w:after="0"/>
        <w:contextualSpacing/>
        <w:jc w:val="both"/>
        <w:rPr>
          <w:rStyle w:val="Fontstyle01"/>
          <w:rFonts w:ascii="Times New Roman" w:hAnsi="Times New Roman" w:eastAsia="Andale Sans UI" w:cs="Times New Roman"/>
          <w:color w:val="auto"/>
          <w:kern w:val="2"/>
          <w:sz w:val="24"/>
          <w:szCs w:val="24"/>
          <w:lang w:eastAsia="ja-JP" w:bidi="fa-IR"/>
        </w:rPr>
      </w:pPr>
      <w:r>
        <w:rPr>
          <w:rStyle w:val="Fontstyle01"/>
          <w:rFonts w:eastAsia="Andale Sans UI" w:cs="Times New Roman" w:ascii="Times New Roman" w:hAnsi="Times New Roman"/>
          <w:color w:val="auto"/>
          <w:kern w:val="2"/>
          <w:sz w:val="24"/>
          <w:szCs w:val="24"/>
          <w:lang w:eastAsia="ja-JP" w:bidi="fa-IR"/>
        </w:rPr>
        <w:t>Spotkanie z przedstawicielem Biura Majątku Komunalnego w sprawie zasad przydzielania lokali mieszkalnych – kryteria dochodowe i praktyka stosowania uchwały nr XVI/120/2019</w:t>
      </w:r>
    </w:p>
    <w:p>
      <w:pPr>
        <w:pStyle w:val="Standard"/>
        <w:numPr>
          <w:ilvl w:val="0"/>
          <w:numId w:val="1"/>
        </w:numPr>
        <w:spacing w:lineRule="auto" w:line="276"/>
        <w:jc w:val="both"/>
        <w:rPr>
          <w:rStyle w:val="Fontstyle01"/>
          <w:rFonts w:ascii="Times New Roman" w:hAnsi="Times New Roman" w:cs="Times New Roman"/>
          <w:bCs/>
          <w:sz w:val="24"/>
          <w:szCs w:val="24"/>
          <w:lang w:val="pl-PL"/>
        </w:rPr>
      </w:pPr>
      <w:r>
        <w:rPr>
          <w:rStyle w:val="Fontstyle01"/>
          <w:rFonts w:cs="Times New Roman"/>
          <w:bCs/>
          <w:sz w:val="24"/>
          <w:szCs w:val="24"/>
          <w:lang w:val="pl-PL"/>
        </w:rPr>
        <w:t>Wolne głosy i wnioski</w:t>
      </w:r>
    </w:p>
    <w:p>
      <w:pPr>
        <w:pStyle w:val="Standard"/>
        <w:numPr>
          <w:ilvl w:val="0"/>
          <w:numId w:val="1"/>
        </w:numPr>
        <w:spacing w:lineRule="auto" w:line="276"/>
        <w:jc w:val="both"/>
        <w:rPr>
          <w:rStyle w:val="Fontstyle01"/>
          <w:rFonts w:ascii="Times New Roman" w:hAnsi="Times New Roman" w:cs="Times New Roman"/>
          <w:bCs/>
          <w:sz w:val="24"/>
          <w:szCs w:val="24"/>
          <w:lang w:val="pl-PL"/>
        </w:rPr>
      </w:pPr>
      <w:r>
        <w:rPr>
          <w:rStyle w:val="Fontstyle01"/>
          <w:rFonts w:cs="Times New Roman"/>
          <w:bCs/>
          <w:sz w:val="24"/>
          <w:szCs w:val="24"/>
          <w:lang w:val="pl-PL"/>
        </w:rPr>
        <w:t>Zakończenie posiedzenia</w:t>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Standard"/>
        <w:spacing w:lineRule="auto" w:line="276"/>
        <w:rPr>
          <w:rFonts w:cs="Times New Roman"/>
          <w:b/>
          <w:bCs/>
          <w:u w:val="single"/>
          <w:lang w:val="pl-PL"/>
        </w:rPr>
      </w:pPr>
      <w:r>
        <w:rPr>
          <w:rFonts w:cs="Times New Roman"/>
          <w:b/>
          <w:bCs/>
          <w:u w:val="single"/>
          <w:lang w:val="pl-PL"/>
        </w:rPr>
        <w:t>Przebieg posiedzenia:</w:t>
      </w:r>
    </w:p>
    <w:p>
      <w:pPr>
        <w:pStyle w:val="Standard"/>
        <w:spacing w:lineRule="auto" w:line="276"/>
        <w:jc w:val="both"/>
        <w:rPr>
          <w:rFonts w:cs="Times New Roman"/>
          <w:lang w:val="pl-PL"/>
        </w:rPr>
      </w:pPr>
      <w:r>
        <w:rPr>
          <w:rFonts w:cs="Times New Roman"/>
          <w:lang w:val="pl-PL"/>
        </w:rPr>
      </w:r>
    </w:p>
    <w:p>
      <w:pPr>
        <w:pStyle w:val="Standard"/>
        <w:numPr>
          <w:ilvl w:val="0"/>
          <w:numId w:val="2"/>
        </w:numPr>
        <w:spacing w:lineRule="auto" w:line="276"/>
        <w:jc w:val="both"/>
        <w:rPr>
          <w:rFonts w:cs="Times New Roman"/>
          <w:b/>
          <w:lang w:val="pl-PL"/>
        </w:rPr>
      </w:pPr>
      <w:r>
        <w:rPr>
          <w:rFonts w:cs="Times New Roman"/>
          <w:b/>
          <w:lang w:val="pl-PL"/>
        </w:rPr>
        <w:t>Otwarcie obrad komisji i stwierdzenie quorum.</w:t>
      </w:r>
    </w:p>
    <w:p>
      <w:pPr>
        <w:pStyle w:val="Standard"/>
        <w:spacing w:lineRule="auto" w:line="276"/>
        <w:ind w:left="1080" w:hanging="0"/>
        <w:jc w:val="both"/>
        <w:rPr>
          <w:rFonts w:cs="Times New Roman"/>
          <w:lang w:val="pl-PL"/>
        </w:rPr>
      </w:pPr>
      <w:r>
        <w:rPr>
          <w:rFonts w:cs="Times New Roman"/>
          <w:lang w:val="pl-PL"/>
        </w:rPr>
      </w:r>
    </w:p>
    <w:p>
      <w:pPr>
        <w:pStyle w:val="Standard"/>
        <w:spacing w:lineRule="auto" w:line="276"/>
        <w:ind w:left="708" w:hanging="0"/>
        <w:jc w:val="both"/>
        <w:rPr>
          <w:rFonts w:cs="Times New Roman"/>
          <w:lang w:val="pl-PL"/>
        </w:rPr>
      </w:pPr>
      <w:r>
        <w:rPr>
          <w:rFonts w:cs="Times New Roman"/>
          <w:lang w:val="pl-PL"/>
        </w:rPr>
        <w:t>Obrady rozpoczęły się o godzinie 16:00 i prowadziła je Przewodnicząca Komisji Budżetu i Finansów Pani Katarzyna Ekwińska.</w:t>
      </w:r>
    </w:p>
    <w:p>
      <w:pPr>
        <w:pStyle w:val="Standard"/>
        <w:spacing w:lineRule="auto" w:line="276"/>
        <w:ind w:left="1080" w:hanging="0"/>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t>Przeprowadzono sprawdzenie obecności.</w:t>
      </w:r>
    </w:p>
    <w:p>
      <w:pPr>
        <w:pStyle w:val="Standard"/>
        <w:spacing w:lineRule="auto" w:line="276"/>
        <w:ind w:left="1080" w:hanging="0"/>
        <w:jc w:val="both"/>
        <w:rPr>
          <w:rFonts w:cs="Times New Roman"/>
          <w:lang w:val="pl-PL"/>
        </w:rPr>
      </w:pPr>
      <w:r>
        <w:rPr>
          <w:rFonts w:cs="Times New Roman"/>
          <w:lang w:val="pl-PL"/>
        </w:rPr>
      </w:r>
    </w:p>
    <w:p>
      <w:pPr>
        <w:pStyle w:val="Standard"/>
        <w:spacing w:lineRule="auto" w:line="276"/>
        <w:ind w:firstLine="708"/>
        <w:jc w:val="both"/>
        <w:rPr>
          <w:rFonts w:cs="Times New Roman"/>
          <w:b/>
          <w:lang w:val="pl-PL"/>
        </w:rPr>
      </w:pPr>
      <w:r>
        <w:rPr>
          <w:rFonts w:cs="Times New Roman"/>
          <w:b/>
          <w:lang w:val="pl-PL"/>
        </w:rPr>
        <w:t>Komisja Budżetu i Finansów</w:t>
      </w:r>
    </w:p>
    <w:p>
      <w:pPr>
        <w:pStyle w:val="Standard"/>
        <w:spacing w:lineRule="auto" w:line="276"/>
        <w:ind w:left="708" w:hanging="0"/>
        <w:jc w:val="both"/>
        <w:rPr>
          <w:rFonts w:cs="Times New Roman"/>
          <w:lang w:val="pl-PL"/>
        </w:rPr>
      </w:pPr>
      <w:r>
        <w:rPr>
          <w:rFonts w:cs="Times New Roman"/>
          <w:lang w:val="pl-PL"/>
        </w:rPr>
        <w:t>Obecnych było 10 członków komisji</w:t>
      </w:r>
    </w:p>
    <w:p>
      <w:pPr>
        <w:pStyle w:val="Standard"/>
        <w:spacing w:lineRule="auto" w:line="276"/>
        <w:ind w:left="1080" w:hanging="0"/>
        <w:jc w:val="both"/>
        <w:rPr>
          <w:rFonts w:cs="Times New Roman"/>
          <w:lang w:val="pl-PL"/>
        </w:rPr>
      </w:pPr>
      <w:r>
        <w:rPr>
          <w:rFonts w:cs="Times New Roman"/>
          <w:lang w:val="pl-PL"/>
        </w:rPr>
      </w:r>
    </w:p>
    <w:tbl>
      <w:tblPr>
        <w:tblW w:w="8079" w:type="dxa"/>
        <w:jc w:val="left"/>
        <w:tblInd w:w="705" w:type="dxa"/>
        <w:tblLayout w:type="fixed"/>
        <w:tblCellMar>
          <w:top w:w="0" w:type="dxa"/>
          <w:left w:w="70" w:type="dxa"/>
          <w:bottom w:w="0" w:type="dxa"/>
          <w:right w:w="70" w:type="dxa"/>
        </w:tblCellMar>
        <w:tblLook w:firstRow="1" w:noVBand="1" w:lastRow="0" w:firstColumn="1" w:lastColumn="0" w:noHBand="0" w:val="04a0"/>
      </w:tblPr>
      <w:tblGrid>
        <w:gridCol w:w="446"/>
        <w:gridCol w:w="3663"/>
        <w:gridCol w:w="2269"/>
        <w:gridCol w:w="1700"/>
      </w:tblGrid>
      <w:tr>
        <w:trPr>
          <w:trHeight w:val="300" w:hRule="atLeast"/>
        </w:trPr>
        <w:tc>
          <w:tcPr>
            <w:tcW w:w="8078" w:type="dxa"/>
            <w:gridSpan w:val="4"/>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Lista Obecności</w:t>
            </w:r>
          </w:p>
        </w:tc>
      </w:tr>
      <w:tr>
        <w:trPr>
          <w:trHeight w:val="300" w:hRule="atLeast"/>
        </w:trPr>
        <w:tc>
          <w:tcPr>
            <w:tcW w:w="44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l.p.</w:t>
            </w:r>
          </w:p>
        </w:tc>
        <w:tc>
          <w:tcPr>
            <w:tcW w:w="3663"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imię i nazwisko</w:t>
            </w:r>
          </w:p>
        </w:tc>
        <w:tc>
          <w:tcPr>
            <w:tcW w:w="2269"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stanowisko</w:t>
            </w:r>
          </w:p>
        </w:tc>
        <w:tc>
          <w:tcPr>
            <w:tcW w:w="1700"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obecność</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1</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Katarzyna Ekwińska</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przewodnicząca</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2</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Monika Izabela Nawrot</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wiceprzewodnicząca</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3</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Maciej Różański</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sekretarz</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4</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Karolina Monika Wilczyńska-Kąkol</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5</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Jakub Przemysław Jelinski</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6</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Teresa Zygmanowska</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7</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Hieronim Gawelski</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8</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Konrad Dominiak</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9</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Elżbieta Zapłata-Szwedziak</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10</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Piotr Łukasz Izydorski</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bl>
    <w:p>
      <w:pPr>
        <w:pStyle w:val="Standard"/>
        <w:spacing w:lineRule="auto" w:line="276"/>
        <w:ind w:left="1080" w:hanging="0"/>
        <w:jc w:val="both"/>
        <w:rPr>
          <w:rFonts w:cs="Times New Roman"/>
          <w:lang w:val="pl-PL"/>
        </w:rPr>
      </w:pPr>
      <w:r>
        <w:rPr>
          <w:rFonts w:cs="Times New Roman"/>
          <w:lang w:val="pl-PL"/>
        </w:rPr>
      </w:r>
    </w:p>
    <w:p>
      <w:pPr>
        <w:pStyle w:val="Standard"/>
        <w:spacing w:lineRule="auto" w:line="276"/>
        <w:ind w:left="1080" w:hanging="0"/>
        <w:jc w:val="both"/>
        <w:rPr>
          <w:rFonts w:cs="Times New Roman"/>
          <w:lang w:val="pl-PL"/>
        </w:rPr>
      </w:pPr>
      <w:r>
        <w:rPr>
          <w:rFonts w:cs="Times New Roman"/>
          <w:lang w:val="pl-PL"/>
        </w:rPr>
        <w:t>Wszyscy radni byli obecni na obu częściach posiedzenia komisji.</w:t>
      </w:r>
    </w:p>
    <w:p>
      <w:pPr>
        <w:pStyle w:val="Standard"/>
        <w:spacing w:lineRule="auto" w:line="276"/>
        <w:ind w:left="1080" w:hanging="0"/>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t>Stwierdzono quorum.</w:t>
      </w:r>
    </w:p>
    <w:p>
      <w:pPr>
        <w:pStyle w:val="Standard"/>
        <w:spacing w:lineRule="auto" w:line="276"/>
        <w:ind w:left="1065" w:hanging="0"/>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t>W obradach gościnnie uczestniczyły następujące osoby:</w:t>
      </w:r>
    </w:p>
    <w:p>
      <w:pPr>
        <w:pStyle w:val="Normal"/>
        <w:ind w:left="1416" w:hanging="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I cześć – Przegląd gospodarki finansowej jednostki dotowanej z Budżetu Miasta Luboń za rok 2024 - Przedszkole nr 1 w Luboniu:</w:t>
      </w:r>
    </w:p>
    <w:p>
      <w:pPr>
        <w:pStyle w:val="Normal"/>
        <w:ind w:left="2124" w:firstLine="12"/>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 Monika Siwek (Dyrektor Przedszkola nr 1 w Luboniu)</w:t>
        <w:br/>
      </w:r>
      <w:r>
        <w:rPr>
          <w:rFonts w:eastAsia="Times New Roman" w:cs="Times New Roman" w:ascii="Times New Roman" w:hAnsi="Times New Roman"/>
          <w:sz w:val="24"/>
          <w:szCs w:val="24"/>
          <w:lang w:eastAsia="pl-PL"/>
        </w:rPr>
        <w:t>- Joanna Zygmańska (Księgowa z Przedszkola nr 1 w Luboniu)</w:t>
      </w:r>
    </w:p>
    <w:p>
      <w:pPr>
        <w:pStyle w:val="Normal"/>
        <w:ind w:left="1416" w:hanging="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II cześć – opiniowanie uchwał na Sesję Rady Miasta:</w:t>
        <w:br/>
      </w:r>
      <w:r>
        <w:rPr>
          <w:rFonts w:cs="Times New Roman" w:ascii="Times New Roman" w:hAnsi="Times New Roman"/>
          <w:sz w:val="24"/>
          <w:szCs w:val="24"/>
        </w:rPr>
        <w:t xml:space="preserve">            - Małgorzata Machalska – Burmistrz Miasta Luboń,</w:t>
        <w:br/>
        <w:t xml:space="preserve">            - Dorota Franek – Wiceburmistrz Miasta Luboń</w:t>
        <w:br/>
        <w:t xml:space="preserve">            - Mirosław Stromczyński – Skarbnik Miasta Luboń.</w:t>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Normal"/>
        <w:spacing w:lineRule="auto" w:line="276" w:beforeAutospacing="1" w:afterAutospacing="1"/>
        <w:ind w:left="708" w:hanging="0"/>
        <w:jc w:val="both"/>
        <w:rPr>
          <w:rFonts w:ascii="Times New Roman" w:hAnsi="Times New Roman" w:eastAsia="Times New Roman" w:cs="Times New Roman"/>
          <w:b/>
          <w:bCs/>
          <w:sz w:val="24"/>
          <w:szCs w:val="24"/>
          <w:u w:val="single"/>
          <w:lang w:eastAsia="pl-PL"/>
        </w:rPr>
      </w:pPr>
      <w:r>
        <w:rPr>
          <w:rFonts w:eastAsia="Times New Roman" w:cs="Times New Roman" w:ascii="Times New Roman" w:hAnsi="Times New Roman"/>
          <w:b/>
          <w:bCs/>
          <w:sz w:val="24"/>
          <w:szCs w:val="24"/>
          <w:u w:val="single"/>
          <w:lang w:eastAsia="pl-PL"/>
        </w:rPr>
        <w:t>2. Przegląd gospoda</w:t>
      </w:r>
      <w:bookmarkStart w:id="0" w:name="_GoBack"/>
      <w:bookmarkEnd w:id="0"/>
      <w:r>
        <w:rPr>
          <w:rFonts w:eastAsia="Times New Roman" w:cs="Times New Roman" w:ascii="Times New Roman" w:hAnsi="Times New Roman"/>
          <w:b/>
          <w:bCs/>
          <w:sz w:val="24"/>
          <w:szCs w:val="24"/>
          <w:u w:val="single"/>
          <w:lang w:eastAsia="pl-PL"/>
        </w:rPr>
        <w:t>rki finansowej jednostki dotowanej z Budżetu Miasta Luboń za rok 2024 - Przedszkole nr 1 w Luboniu</w:t>
      </w:r>
    </w:p>
    <w:p>
      <w:pPr>
        <w:pStyle w:val="Normal"/>
        <w:spacing w:beforeAutospacing="1" w:afterAutospacing="1"/>
        <w:ind w:left="1410"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 xml:space="preserve">2.1. Przegląd materiałów przesłanych przez Przedszkole nr 1 w Luboniu </w:t>
        <w:br/>
        <w:t>w ramach przeglądu gospodarki finansowej za 2024 rok</w:t>
      </w:r>
    </w:p>
    <w:p>
      <w:pPr>
        <w:pStyle w:val="Normal"/>
        <w:spacing w:lineRule="auto" w:line="240" w:beforeAutospacing="1" w:afterAutospacing="1"/>
        <w:ind w:left="1410"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dniu 1 marca 2025 roku, w ramach przygotowań do posiedzenia Komisji Budżetu i Finansów Rady Miasta Luboń, członkowie komisji otrzymali drogą elektroniczną komplet materiałów przesłanych przez księgową Przedszkola nr 1 w Luboniu, Panią Joannę Zygmańską. Wśród załączonych dokumentów znalazły się:</w:t>
      </w:r>
    </w:p>
    <w:p>
      <w:pPr>
        <w:pStyle w:val="Normal"/>
        <w:spacing w:lineRule="auto" w:line="240" w:beforeAutospacing="1" w:afterAutospacing="1"/>
        <w:ind w:left="1410" w:firstLine="6"/>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2.1.1. „Informacja o wykonaniu budżetu Przedszkola nr 1 za 2024 rok”</w:t>
      </w:r>
      <w:r>
        <w:rPr>
          <w:rFonts w:eastAsia="Times New Roman" w:cs="Times New Roman" w:ascii="Times New Roman" w:hAnsi="Times New Roman"/>
          <w:sz w:val="24"/>
          <w:szCs w:val="24"/>
          <w:lang w:eastAsia="pl-PL"/>
        </w:rPr>
        <w:t xml:space="preserve"> </w:t>
        <w:br/>
        <w:t>– zestawienie tabelaryczne zawierające szczegółowe dane dotyczące rzeczywistego wykonania planu dochodów i wydatków;</w:t>
      </w:r>
    </w:p>
    <w:p>
      <w:pPr>
        <w:pStyle w:val="Normal"/>
        <w:spacing w:lineRule="auto" w:line="240" w:beforeAutospacing="1" w:afterAutospacing="1"/>
        <w:ind w:left="1410" w:firstLine="6"/>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2.1.2. „Uzasadnienie do informacji o wykonaniu budżetu za 2024 rok”</w:t>
      </w:r>
      <w:r>
        <w:rPr>
          <w:rFonts w:eastAsia="Times New Roman" w:cs="Times New Roman" w:ascii="Times New Roman" w:hAnsi="Times New Roman"/>
          <w:sz w:val="24"/>
          <w:szCs w:val="24"/>
          <w:lang w:eastAsia="pl-PL"/>
        </w:rPr>
        <w:t xml:space="preserve"> </w:t>
        <w:br/>
        <w:t>– opisowe i merytoryczne omówienie poszczególnych pozycji budżetowych, wraz z objaśnieniem stopnia realizacji założonych planów.</w:t>
      </w:r>
    </w:p>
    <w:p>
      <w:pPr>
        <w:pStyle w:val="Normal"/>
        <w:spacing w:lineRule="auto" w:line="240" w:beforeAutospacing="1" w:afterAutospacing="1"/>
        <w:ind w:left="1410" w:firstLine="6"/>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Przekazane dokumenty zawierały szczegółową analizę danych liczbowych, których najistotniejsze elementy omówiono poniżej:</w:t>
      </w:r>
    </w:p>
    <w:p>
      <w:pPr>
        <w:pStyle w:val="Normal"/>
        <w:numPr>
          <w:ilvl w:val="0"/>
          <w:numId w:val="0"/>
        </w:numPr>
        <w:spacing w:lineRule="auto" w:line="240" w:beforeAutospacing="1" w:afterAutospacing="1"/>
        <w:ind w:left="702" w:firstLine="708"/>
        <w:jc w:val="both"/>
        <w:outlineLvl w:val="2"/>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t>2.1.3. Dochody przedszkola – wykonanie ponadplanowe</w:t>
      </w:r>
    </w:p>
    <w:p>
      <w:pPr>
        <w:pStyle w:val="Normal"/>
        <w:spacing w:lineRule="auto" w:line="240" w:beforeAutospacing="1" w:afterAutospacing="1"/>
        <w:ind w:left="1770"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Dochody uzyskane przez Przedszkole nr 1 w Luboniu w 2024 roku wyniosły </w:t>
      </w:r>
      <w:r>
        <w:rPr>
          <w:rFonts w:eastAsia="Times New Roman" w:cs="Times New Roman" w:ascii="Times New Roman" w:hAnsi="Times New Roman"/>
          <w:b/>
          <w:bCs/>
          <w:sz w:val="24"/>
          <w:szCs w:val="24"/>
          <w:lang w:eastAsia="pl-PL"/>
        </w:rPr>
        <w:t>698 207,99 zł</w:t>
      </w:r>
      <w:r>
        <w:rPr>
          <w:rFonts w:eastAsia="Times New Roman" w:cs="Times New Roman" w:ascii="Times New Roman" w:hAnsi="Times New Roman"/>
          <w:sz w:val="24"/>
          <w:szCs w:val="24"/>
          <w:lang w:eastAsia="pl-PL"/>
        </w:rPr>
        <w:t xml:space="preserve">, co oznacza realizację planu finansowego na poziomie </w:t>
      </w:r>
      <w:r>
        <w:rPr>
          <w:rFonts w:eastAsia="Times New Roman" w:cs="Times New Roman" w:ascii="Times New Roman" w:hAnsi="Times New Roman"/>
          <w:b/>
          <w:bCs/>
          <w:sz w:val="24"/>
          <w:szCs w:val="24"/>
          <w:lang w:eastAsia="pl-PL"/>
        </w:rPr>
        <w:t>101,71%</w:t>
      </w:r>
      <w:r>
        <w:rPr>
          <w:rFonts w:eastAsia="Times New Roman" w:cs="Times New Roman" w:ascii="Times New Roman" w:hAnsi="Times New Roman"/>
          <w:sz w:val="24"/>
          <w:szCs w:val="24"/>
          <w:lang w:eastAsia="pl-PL"/>
        </w:rPr>
        <w:t>. Najważniejsze źródła dochodów to:</w:t>
      </w:r>
    </w:p>
    <w:p>
      <w:pPr>
        <w:pStyle w:val="Normal"/>
        <w:numPr>
          <w:ilvl w:val="0"/>
          <w:numId w:val="18"/>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Wpływy z opłat za wychowanie przedszkolne (§ 0660)</w:t>
      </w:r>
      <w:r>
        <w:rPr>
          <w:rFonts w:eastAsia="Times New Roman" w:cs="Times New Roman" w:ascii="Times New Roman" w:hAnsi="Times New Roman"/>
          <w:sz w:val="24"/>
          <w:szCs w:val="24"/>
          <w:lang w:eastAsia="pl-PL"/>
        </w:rPr>
        <w:t xml:space="preserve"> – zaplanowane na poziomie 60 000,00 zł, osiągnęły wartość 63 668,62 zł (106,11%);</w:t>
      </w:r>
    </w:p>
    <w:p>
      <w:pPr>
        <w:pStyle w:val="Normal"/>
        <w:numPr>
          <w:ilvl w:val="0"/>
          <w:numId w:val="18"/>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Wpływy z opłat za wyżywienie dzieci (§ 0670)</w:t>
      </w:r>
      <w:r>
        <w:rPr>
          <w:rFonts w:eastAsia="Times New Roman" w:cs="Times New Roman" w:ascii="Times New Roman" w:hAnsi="Times New Roman"/>
          <w:sz w:val="24"/>
          <w:szCs w:val="24"/>
          <w:lang w:eastAsia="pl-PL"/>
        </w:rPr>
        <w:t xml:space="preserve"> – plan 625 000,00 zł, wykonanie 632 723,52 zł (101,24%);</w:t>
      </w:r>
    </w:p>
    <w:p>
      <w:pPr>
        <w:pStyle w:val="Normal"/>
        <w:numPr>
          <w:ilvl w:val="0"/>
          <w:numId w:val="18"/>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Wpływy z odsetek od nieterminowych wpłat (§ 0910)</w:t>
      </w:r>
      <w:r>
        <w:rPr>
          <w:rFonts w:eastAsia="Times New Roman" w:cs="Times New Roman" w:ascii="Times New Roman" w:hAnsi="Times New Roman"/>
          <w:sz w:val="24"/>
          <w:szCs w:val="24"/>
          <w:lang w:eastAsia="pl-PL"/>
        </w:rPr>
        <w:t xml:space="preserve"> – wykonanie przekroczyło plan o ponad 21%, osiągając 1 815,85 zł względem planowanych 1 500,00 zł.</w:t>
      </w:r>
    </w:p>
    <w:p>
      <w:pPr>
        <w:pStyle w:val="Normal"/>
        <w:spacing w:lineRule="auto" w:line="240" w:beforeAutospacing="1" w:afterAutospacing="1"/>
        <w:ind w:left="1770"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Zestawienie to wskazuje na sprawną realizację dochodów własnych jednostki, zwłaszcza w zakresie opłat rodzicielskich, które zostały przekroczone mimo założeń ostrożnościowych.</w:t>
      </w:r>
    </w:p>
    <w:p>
      <w:pPr>
        <w:pStyle w:val="Normal"/>
        <w:numPr>
          <w:ilvl w:val="0"/>
          <w:numId w:val="0"/>
        </w:numPr>
        <w:spacing w:lineRule="auto" w:line="240" w:beforeAutospacing="1" w:afterAutospacing="1"/>
        <w:ind w:left="708" w:firstLine="708"/>
        <w:jc w:val="both"/>
        <w:outlineLvl w:val="2"/>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t>2.1.4. Wydatki – ogólna realizacja na poziomie 98,19%</w:t>
      </w:r>
    </w:p>
    <w:p>
      <w:pPr>
        <w:pStyle w:val="Normal"/>
        <w:spacing w:lineRule="auto" w:line="240" w:beforeAutospacing="1" w:afterAutospacing="1"/>
        <w:ind w:left="1770"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Całkowite wydatki jednostki w 2024 roku wyniosły </w:t>
      </w:r>
      <w:r>
        <w:rPr>
          <w:rFonts w:eastAsia="Times New Roman" w:cs="Times New Roman" w:ascii="Times New Roman" w:hAnsi="Times New Roman"/>
          <w:b/>
          <w:bCs/>
          <w:sz w:val="24"/>
          <w:szCs w:val="24"/>
          <w:lang w:eastAsia="pl-PL"/>
        </w:rPr>
        <w:t>4 674 811,98 zł</w:t>
      </w:r>
      <w:r>
        <w:rPr>
          <w:rFonts w:eastAsia="Times New Roman" w:cs="Times New Roman" w:ascii="Times New Roman" w:hAnsi="Times New Roman"/>
          <w:sz w:val="24"/>
          <w:szCs w:val="24"/>
          <w:lang w:eastAsia="pl-PL"/>
        </w:rPr>
        <w:t xml:space="preserve"> wobec planowanych 4 760 987,50 zł. Wykonanie planu zamknęło się na poziomie </w:t>
      </w:r>
      <w:r>
        <w:rPr>
          <w:rFonts w:eastAsia="Times New Roman" w:cs="Times New Roman" w:ascii="Times New Roman" w:hAnsi="Times New Roman"/>
          <w:b/>
          <w:bCs/>
          <w:sz w:val="24"/>
          <w:szCs w:val="24"/>
          <w:lang w:eastAsia="pl-PL"/>
        </w:rPr>
        <w:t>98,19%</w:t>
      </w:r>
      <w:r>
        <w:rPr>
          <w:rFonts w:eastAsia="Times New Roman" w:cs="Times New Roman" w:ascii="Times New Roman" w:hAnsi="Times New Roman"/>
          <w:sz w:val="24"/>
          <w:szCs w:val="24"/>
          <w:lang w:eastAsia="pl-PL"/>
        </w:rPr>
        <w:t>, co świadczy o racjonalnym i świadomym gospodarowaniu środkami publicznymi. W ramach tej kwoty najważniejsze pozycje stanowiły:</w:t>
      </w:r>
    </w:p>
    <w:p>
      <w:pPr>
        <w:pStyle w:val="Normal"/>
        <w:numPr>
          <w:ilvl w:val="0"/>
          <w:numId w:val="19"/>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Wynagrodzenia osobowe pracowników (§ 4010)</w:t>
      </w:r>
      <w:r>
        <w:rPr>
          <w:rFonts w:eastAsia="Times New Roman" w:cs="Times New Roman" w:ascii="Times New Roman" w:hAnsi="Times New Roman"/>
          <w:sz w:val="24"/>
          <w:szCs w:val="24"/>
          <w:lang w:eastAsia="pl-PL"/>
        </w:rPr>
        <w:t xml:space="preserve"> – 906 171,50 zł (99,91%);</w:t>
      </w:r>
    </w:p>
    <w:p>
      <w:pPr>
        <w:pStyle w:val="Normal"/>
        <w:numPr>
          <w:ilvl w:val="0"/>
          <w:numId w:val="19"/>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Wynagrodzenia osobowe nauczycieli (§ 4790)</w:t>
      </w:r>
      <w:r>
        <w:rPr>
          <w:rFonts w:eastAsia="Times New Roman" w:cs="Times New Roman" w:ascii="Times New Roman" w:hAnsi="Times New Roman"/>
          <w:sz w:val="24"/>
          <w:szCs w:val="24"/>
          <w:lang w:eastAsia="pl-PL"/>
        </w:rPr>
        <w:t xml:space="preserve"> – 1 571 810,28 zł (99,43%);</w:t>
      </w:r>
    </w:p>
    <w:p>
      <w:pPr>
        <w:pStyle w:val="Normal"/>
        <w:numPr>
          <w:ilvl w:val="0"/>
          <w:numId w:val="19"/>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Dodatkowe wynagrodzenia roczne (§ 4040 i § 4800)</w:t>
      </w:r>
      <w:r>
        <w:rPr>
          <w:rFonts w:eastAsia="Times New Roman" w:cs="Times New Roman" w:ascii="Times New Roman" w:hAnsi="Times New Roman"/>
          <w:sz w:val="24"/>
          <w:szCs w:val="24"/>
          <w:lang w:eastAsia="pl-PL"/>
        </w:rPr>
        <w:t xml:space="preserve"> – łączna realizacja na poziomie niemal 100%;</w:t>
      </w:r>
    </w:p>
    <w:p>
      <w:pPr>
        <w:pStyle w:val="Normal"/>
        <w:numPr>
          <w:ilvl w:val="0"/>
          <w:numId w:val="19"/>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Składki ZUS i Fundusz Pracy (§ 4110–4129)</w:t>
      </w:r>
      <w:r>
        <w:rPr>
          <w:rFonts w:eastAsia="Times New Roman" w:cs="Times New Roman" w:ascii="Times New Roman" w:hAnsi="Times New Roman"/>
          <w:sz w:val="24"/>
          <w:szCs w:val="24"/>
          <w:lang w:eastAsia="pl-PL"/>
        </w:rPr>
        <w:t xml:space="preserve"> – większość pozycji wykonanych powyżej 95%;</w:t>
      </w:r>
    </w:p>
    <w:p>
      <w:pPr>
        <w:pStyle w:val="Normal"/>
        <w:numPr>
          <w:ilvl w:val="0"/>
          <w:numId w:val="19"/>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Zakup energii (§ 4260)</w:t>
      </w:r>
      <w:r>
        <w:rPr>
          <w:rFonts w:eastAsia="Times New Roman" w:cs="Times New Roman" w:ascii="Times New Roman" w:hAnsi="Times New Roman"/>
          <w:sz w:val="24"/>
          <w:szCs w:val="24"/>
          <w:lang w:eastAsia="pl-PL"/>
        </w:rPr>
        <w:t xml:space="preserve"> – 192 964,12 zł (99,19%);</w:t>
      </w:r>
    </w:p>
    <w:p>
      <w:pPr>
        <w:pStyle w:val="Normal"/>
        <w:numPr>
          <w:ilvl w:val="0"/>
          <w:numId w:val="19"/>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Zakup usług pozostałych (§ 4300)</w:t>
      </w:r>
      <w:r>
        <w:rPr>
          <w:rFonts w:eastAsia="Times New Roman" w:cs="Times New Roman" w:ascii="Times New Roman" w:hAnsi="Times New Roman"/>
          <w:sz w:val="24"/>
          <w:szCs w:val="24"/>
          <w:lang w:eastAsia="pl-PL"/>
        </w:rPr>
        <w:t xml:space="preserve"> – 732 639,25 zł (99,37%).</w:t>
      </w:r>
    </w:p>
    <w:p>
      <w:pPr>
        <w:pStyle w:val="Normal"/>
        <w:spacing w:lineRule="auto" w:line="240" w:beforeAutospacing="1" w:afterAutospacing="1"/>
        <w:ind w:left="1770" w:firstLine="6"/>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Warto zauważyć, że w zakresie wynagrodzeń zarówno dla pracowników administracji, jak i nauczycieli, jednostka zrealizowała niemal całość zaplanowanych środków. Zachowana została także dyscyplina budżetowa </w:t>
        <w:br/>
        <w:t>w zakresie zakupów i usług zewnętrznych, nie odnotowano istotnych przekroczeń budżetowych.</w:t>
      </w:r>
    </w:p>
    <w:p>
      <w:pPr>
        <w:pStyle w:val="Normal"/>
        <w:numPr>
          <w:ilvl w:val="0"/>
          <w:numId w:val="0"/>
        </w:numPr>
        <w:spacing w:lineRule="auto" w:line="240" w:beforeAutospacing="1" w:afterAutospacing="1"/>
        <w:ind w:left="708" w:firstLine="708"/>
        <w:jc w:val="both"/>
        <w:outlineLvl w:val="2"/>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t>2.1.5. Wydatki w ramach programów zewnętrznych</w:t>
      </w:r>
    </w:p>
    <w:p>
      <w:pPr>
        <w:pStyle w:val="Normal"/>
        <w:spacing w:lineRule="auto" w:line="240" w:beforeAutospacing="1" w:afterAutospacing="1"/>
        <w:ind w:left="1764"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Istotną część wydatków w 2024 roku stanowiły środki realizowane w ramach projektów zewnętrznych, w szczególności:</w:t>
      </w:r>
    </w:p>
    <w:p>
      <w:pPr>
        <w:pStyle w:val="Normal"/>
        <w:numPr>
          <w:ilvl w:val="0"/>
          <w:numId w:val="20"/>
        </w:numPr>
        <w:tabs>
          <w:tab w:val="clear" w:pos="708"/>
          <w:tab w:val="left" w:pos="2124" w:leader="none"/>
        </w:tabs>
        <w:spacing w:lineRule="auto" w:line="240" w:beforeAutospacing="1" w:after="0"/>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t>
      </w:r>
      <w:r>
        <w:rPr>
          <w:rFonts w:eastAsia="Times New Roman" w:cs="Times New Roman" w:ascii="Times New Roman" w:hAnsi="Times New Roman"/>
          <w:b/>
          <w:bCs/>
          <w:sz w:val="24"/>
          <w:szCs w:val="24"/>
          <w:lang w:eastAsia="pl-PL"/>
        </w:rPr>
        <w:t>Zwiększenie dostępu do specjalistów w zakresie wczesnej diagnozy, rozszerzenie oferty edukacyjnej i zwiększenie kompetencji kadry przedszkoli publicznych na terenie Miasta Luboń”</w:t>
      </w:r>
      <w:r>
        <w:rPr>
          <w:rFonts w:eastAsia="Times New Roman" w:cs="Times New Roman" w:ascii="Times New Roman" w:hAnsi="Times New Roman"/>
          <w:sz w:val="24"/>
          <w:szCs w:val="24"/>
          <w:lang w:eastAsia="pl-PL"/>
        </w:rPr>
        <w:t xml:space="preserve"> – środki </w:t>
        <w:br/>
        <w:t>w wysokości 115 464,98 zł, z których finansowano m.in. dodatkowe wynagrodzenia, zakupy dydaktyczne i wyposażenie sal specjalistycznych;</w:t>
      </w:r>
    </w:p>
    <w:p>
      <w:pPr>
        <w:pStyle w:val="Normal"/>
        <w:numPr>
          <w:ilvl w:val="0"/>
          <w:numId w:val="20"/>
        </w:numPr>
        <w:tabs>
          <w:tab w:val="clear" w:pos="708"/>
          <w:tab w:val="left" w:pos="2124" w:leader="none"/>
        </w:tabs>
        <w:spacing w:lineRule="auto" w:line="240" w:before="0" w:afterAutospacing="1"/>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t>
      </w:r>
      <w:r>
        <w:rPr>
          <w:rFonts w:eastAsia="Times New Roman" w:cs="Times New Roman" w:ascii="Times New Roman" w:hAnsi="Times New Roman"/>
          <w:b/>
          <w:bCs/>
          <w:sz w:val="24"/>
          <w:szCs w:val="24"/>
          <w:lang w:eastAsia="pl-PL"/>
        </w:rPr>
        <w:t>Fundusz pomocy na edukację dzieci z Ukrainy”</w:t>
      </w:r>
      <w:r>
        <w:rPr>
          <w:rFonts w:eastAsia="Times New Roman" w:cs="Times New Roman" w:ascii="Times New Roman" w:hAnsi="Times New Roman"/>
          <w:sz w:val="24"/>
          <w:szCs w:val="24"/>
          <w:lang w:eastAsia="pl-PL"/>
        </w:rPr>
        <w:t xml:space="preserve"> – 55 599,71 zł, przeznaczone m.in. na wynagrodzenia nauczycieli (§ 4750), zakup środków dydaktycznych i bieżące potrzeby grupy uczniów z Ukrainy.</w:t>
      </w:r>
    </w:p>
    <w:p>
      <w:pPr>
        <w:pStyle w:val="Normal"/>
        <w:spacing w:lineRule="auto" w:line="240" w:beforeAutospacing="1" w:afterAutospacing="1"/>
        <w:ind w:left="1764" w:firstLine="6"/>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przypadku projektów współfinansowanych, wykonanie budżetu było zróżnicowane – niektóre pozycje osiągnęły pełną realizację (np. wynagrodzenia dla nauczycieli pracujących z dziećmi z Ukrainy – 100%), inne natomiast były zrealizowane w stopniu niższym (np. zakupy dydaktyczne – 34,18%).</w:t>
      </w:r>
    </w:p>
    <w:p>
      <w:pPr>
        <w:pStyle w:val="Normal"/>
        <w:numPr>
          <w:ilvl w:val="0"/>
          <w:numId w:val="0"/>
        </w:numPr>
        <w:spacing w:lineRule="auto" w:line="240" w:beforeAutospacing="1" w:afterAutospacing="1"/>
        <w:ind w:left="708" w:firstLine="708"/>
        <w:jc w:val="both"/>
        <w:outlineLvl w:val="2"/>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t>2.1.6. Zakupy i wydatki rzeczowe</w:t>
      </w:r>
    </w:p>
    <w:p>
      <w:pPr>
        <w:pStyle w:val="Normal"/>
        <w:spacing w:lineRule="auto" w:line="240" w:beforeAutospacing="1" w:afterAutospacing="1"/>
        <w:ind w:left="1056"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Na uwagę zasługują szczegółowe zestawienia wydatków rzeczowych:</w:t>
      </w:r>
    </w:p>
    <w:p>
      <w:pPr>
        <w:pStyle w:val="Normal"/>
        <w:numPr>
          <w:ilvl w:val="0"/>
          <w:numId w:val="21"/>
        </w:numPr>
        <w:tabs>
          <w:tab w:val="clear" w:pos="708"/>
          <w:tab w:val="left" w:pos="2124" w:leader="none"/>
        </w:tabs>
        <w:spacing w:lineRule="auto" w:line="240" w:beforeAutospacing="1" w:after="0"/>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Zakup materiałów i wyposażenia (§ 4210–4219)</w:t>
      </w:r>
      <w:r>
        <w:rPr>
          <w:rFonts w:eastAsia="Times New Roman" w:cs="Times New Roman" w:ascii="Times New Roman" w:hAnsi="Times New Roman"/>
          <w:sz w:val="24"/>
          <w:szCs w:val="24"/>
          <w:lang w:eastAsia="pl-PL"/>
        </w:rPr>
        <w:t xml:space="preserve"> – łączne wykonanie powyżej 88%, obejmujące m.in. środki czystości, wyprawki, wyposażenie sal dydaktycznych, artykuły biurowe i prenumeraty;</w:t>
      </w:r>
    </w:p>
    <w:p>
      <w:pPr>
        <w:pStyle w:val="Normal"/>
        <w:numPr>
          <w:ilvl w:val="0"/>
          <w:numId w:val="21"/>
        </w:numPr>
        <w:tabs>
          <w:tab w:val="clear" w:pos="708"/>
          <w:tab w:val="left" w:pos="2124" w:leader="none"/>
        </w:tabs>
        <w:spacing w:lineRule="auto" w:line="240" w:before="0" w:after="0"/>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Zakup środków dydaktycznych (§ 4240–4249)</w:t>
      </w:r>
      <w:r>
        <w:rPr>
          <w:rFonts w:eastAsia="Times New Roman" w:cs="Times New Roman" w:ascii="Times New Roman" w:hAnsi="Times New Roman"/>
          <w:sz w:val="24"/>
          <w:szCs w:val="24"/>
          <w:lang w:eastAsia="pl-PL"/>
        </w:rPr>
        <w:t xml:space="preserve"> – wykonanie zróżnicowane: od 98,81% (środki z budżetu) do 34,18% (zakupy </w:t>
        <w:br/>
        <w:t>w ramach projektu);</w:t>
      </w:r>
    </w:p>
    <w:p>
      <w:pPr>
        <w:pStyle w:val="Normal"/>
        <w:numPr>
          <w:ilvl w:val="0"/>
          <w:numId w:val="21"/>
        </w:numPr>
        <w:tabs>
          <w:tab w:val="clear" w:pos="708"/>
          <w:tab w:val="left" w:pos="2124" w:leader="none"/>
        </w:tabs>
        <w:spacing w:lineRule="auto" w:line="240" w:before="0" w:after="0"/>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Zakup usług remontowych (§ 4270)</w:t>
      </w:r>
      <w:r>
        <w:rPr>
          <w:rFonts w:eastAsia="Times New Roman" w:cs="Times New Roman" w:ascii="Times New Roman" w:hAnsi="Times New Roman"/>
          <w:sz w:val="24"/>
          <w:szCs w:val="24"/>
          <w:lang w:eastAsia="pl-PL"/>
        </w:rPr>
        <w:t xml:space="preserve"> – wykonanie na poziomie 75,78%;</w:t>
      </w:r>
    </w:p>
    <w:p>
      <w:pPr>
        <w:pStyle w:val="Normal"/>
        <w:numPr>
          <w:ilvl w:val="0"/>
          <w:numId w:val="21"/>
        </w:numPr>
        <w:tabs>
          <w:tab w:val="clear" w:pos="708"/>
          <w:tab w:val="left" w:pos="2124" w:leader="none"/>
        </w:tabs>
        <w:spacing w:lineRule="auto" w:line="240" w:before="0" w:after="0"/>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Usługi telekomunikacyjne (§ 4360)</w:t>
      </w:r>
      <w:r>
        <w:rPr>
          <w:rFonts w:eastAsia="Times New Roman" w:cs="Times New Roman" w:ascii="Times New Roman" w:hAnsi="Times New Roman"/>
          <w:sz w:val="24"/>
          <w:szCs w:val="24"/>
          <w:lang w:eastAsia="pl-PL"/>
        </w:rPr>
        <w:t xml:space="preserve"> – 83,70%;</w:t>
      </w:r>
    </w:p>
    <w:p>
      <w:pPr>
        <w:pStyle w:val="Normal"/>
        <w:numPr>
          <w:ilvl w:val="0"/>
          <w:numId w:val="21"/>
        </w:numPr>
        <w:tabs>
          <w:tab w:val="clear" w:pos="708"/>
          <w:tab w:val="left" w:pos="2124" w:leader="none"/>
        </w:tabs>
        <w:spacing w:lineRule="auto" w:line="240" w:before="0" w:after="0"/>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Podróże służbowe krajowe (§ 4410)</w:t>
      </w:r>
      <w:r>
        <w:rPr>
          <w:rFonts w:eastAsia="Times New Roman" w:cs="Times New Roman" w:ascii="Times New Roman" w:hAnsi="Times New Roman"/>
          <w:sz w:val="24"/>
          <w:szCs w:val="24"/>
          <w:lang w:eastAsia="pl-PL"/>
        </w:rPr>
        <w:t xml:space="preserve"> – 99,31%;</w:t>
      </w:r>
    </w:p>
    <w:p>
      <w:pPr>
        <w:pStyle w:val="Normal"/>
        <w:numPr>
          <w:ilvl w:val="0"/>
          <w:numId w:val="21"/>
        </w:numPr>
        <w:tabs>
          <w:tab w:val="clear" w:pos="708"/>
          <w:tab w:val="left" w:pos="2124" w:leader="none"/>
        </w:tabs>
        <w:spacing w:lineRule="auto" w:line="240" w:before="0" w:after="0"/>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Opłaty i składki (§ 4430)</w:t>
      </w:r>
      <w:r>
        <w:rPr>
          <w:rFonts w:eastAsia="Times New Roman" w:cs="Times New Roman" w:ascii="Times New Roman" w:hAnsi="Times New Roman"/>
          <w:sz w:val="24"/>
          <w:szCs w:val="24"/>
          <w:lang w:eastAsia="pl-PL"/>
        </w:rPr>
        <w:t xml:space="preserve"> – 100%;</w:t>
      </w:r>
    </w:p>
    <w:p>
      <w:pPr>
        <w:pStyle w:val="Normal"/>
        <w:numPr>
          <w:ilvl w:val="0"/>
          <w:numId w:val="21"/>
        </w:numPr>
        <w:tabs>
          <w:tab w:val="clear" w:pos="708"/>
          <w:tab w:val="left" w:pos="2124" w:leader="none"/>
        </w:tabs>
        <w:spacing w:lineRule="auto" w:line="240" w:before="0" w:afterAutospacing="1"/>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Odpisy na ZFŚS (§ 4440)</w:t>
      </w:r>
      <w:r>
        <w:rPr>
          <w:rFonts w:eastAsia="Times New Roman" w:cs="Times New Roman" w:ascii="Times New Roman" w:hAnsi="Times New Roman"/>
          <w:sz w:val="24"/>
          <w:szCs w:val="24"/>
          <w:lang w:eastAsia="pl-PL"/>
        </w:rPr>
        <w:t xml:space="preserve"> – 100%.</w:t>
      </w:r>
    </w:p>
    <w:p>
      <w:pPr>
        <w:pStyle w:val="Normal"/>
        <w:numPr>
          <w:ilvl w:val="0"/>
          <w:numId w:val="0"/>
        </w:numPr>
        <w:spacing w:lineRule="auto" w:line="240" w:beforeAutospacing="1" w:afterAutospacing="1"/>
        <w:ind w:left="708" w:firstLine="708"/>
        <w:jc w:val="both"/>
        <w:outlineLvl w:val="2"/>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t>2.1.7. Podsumowanie rzeczowe i organizacyjne</w:t>
      </w:r>
    </w:p>
    <w:p>
      <w:pPr>
        <w:pStyle w:val="Normal"/>
        <w:spacing w:lineRule="auto" w:line="240" w:beforeAutospacing="1" w:afterAutospacing="1"/>
        <w:ind w:left="1764"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analizie przekazanej przez Panią Zygmańską znalazło się również podsumowanie łącznych środków przekazanych i otrzymanych:</w:t>
      </w:r>
    </w:p>
    <w:p>
      <w:pPr>
        <w:pStyle w:val="Normal"/>
        <w:numPr>
          <w:ilvl w:val="0"/>
          <w:numId w:val="22"/>
        </w:numPr>
        <w:tabs>
          <w:tab w:val="clear" w:pos="708"/>
          <w:tab w:val="left" w:pos="2124" w:leader="none"/>
        </w:tabs>
        <w:spacing w:lineRule="auto" w:line="240" w:beforeAutospacing="1" w:after="0"/>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Dochody przekazane do UM Luboń: </w:t>
      </w:r>
      <w:r>
        <w:rPr>
          <w:rFonts w:eastAsia="Times New Roman" w:cs="Times New Roman" w:ascii="Times New Roman" w:hAnsi="Times New Roman"/>
          <w:b/>
          <w:bCs/>
          <w:sz w:val="24"/>
          <w:szCs w:val="24"/>
          <w:lang w:eastAsia="pl-PL"/>
        </w:rPr>
        <w:t>698 207,99 zł</w:t>
      </w:r>
    </w:p>
    <w:p>
      <w:pPr>
        <w:pStyle w:val="Normal"/>
        <w:numPr>
          <w:ilvl w:val="0"/>
          <w:numId w:val="22"/>
        </w:numPr>
        <w:tabs>
          <w:tab w:val="clear" w:pos="708"/>
          <w:tab w:val="left" w:pos="2124" w:leader="none"/>
        </w:tabs>
        <w:spacing w:lineRule="auto" w:line="240" w:before="0" w:after="0"/>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Środki otrzymane z budżetu miasta: </w:t>
      </w:r>
      <w:r>
        <w:rPr>
          <w:rFonts w:eastAsia="Times New Roman" w:cs="Times New Roman" w:ascii="Times New Roman" w:hAnsi="Times New Roman"/>
          <w:b/>
          <w:bCs/>
          <w:sz w:val="24"/>
          <w:szCs w:val="24"/>
          <w:lang w:eastAsia="pl-PL"/>
        </w:rPr>
        <w:t>4 525 994,44 zł</w:t>
      </w:r>
    </w:p>
    <w:p>
      <w:pPr>
        <w:pStyle w:val="Normal"/>
        <w:numPr>
          <w:ilvl w:val="0"/>
          <w:numId w:val="22"/>
        </w:numPr>
        <w:tabs>
          <w:tab w:val="clear" w:pos="708"/>
          <w:tab w:val="left" w:pos="2124" w:leader="none"/>
        </w:tabs>
        <w:spacing w:lineRule="auto" w:line="240" w:before="0" w:afterAutospacing="1"/>
        <w:ind w:left="2124"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Środki z projektów zewnętrznych (łącznie): </w:t>
      </w:r>
      <w:r>
        <w:rPr>
          <w:rFonts w:eastAsia="Times New Roman" w:cs="Times New Roman" w:ascii="Times New Roman" w:hAnsi="Times New Roman"/>
          <w:b/>
          <w:bCs/>
          <w:sz w:val="24"/>
          <w:szCs w:val="24"/>
          <w:lang w:eastAsia="pl-PL"/>
        </w:rPr>
        <w:t>171 064,69 zł</w:t>
      </w:r>
    </w:p>
    <w:p>
      <w:pPr>
        <w:pStyle w:val="Normal"/>
        <w:spacing w:lineRule="auto" w:line="276" w:beforeAutospacing="1" w:afterAutospacing="1"/>
        <w:ind w:left="1410" w:hanging="0"/>
        <w:jc w:val="both"/>
        <w:rPr>
          <w:rFonts w:ascii="Times New Roman" w:hAnsi="Times New Roman" w:eastAsia="Times New Roman" w:cs="Times New Roman"/>
          <w:bCs/>
          <w:sz w:val="24"/>
          <w:szCs w:val="24"/>
          <w:lang w:eastAsia="pl-PL"/>
        </w:rPr>
      </w:pPr>
      <w:r>
        <w:rPr>
          <w:rFonts w:eastAsia="Times New Roman" w:cs="Times New Roman" w:ascii="Times New Roman" w:hAnsi="Times New Roman"/>
          <w:bCs/>
          <w:sz w:val="24"/>
          <w:szCs w:val="24"/>
          <w:lang w:eastAsia="pl-PL"/>
        </w:rPr>
      </w:r>
    </w:p>
    <w:p>
      <w:pPr>
        <w:pStyle w:val="Normal"/>
        <w:spacing w:lineRule="auto" w:line="240" w:beforeAutospacing="1" w:afterAutospacing="1"/>
        <w:ind w:left="1410" w:hanging="0"/>
        <w:jc w:val="both"/>
        <w:rPr>
          <w:rFonts w:ascii="Times New Roman" w:hAnsi="Times New Roman" w:cs="Times New Roman"/>
          <w:sz w:val="24"/>
          <w:szCs w:val="24"/>
        </w:rPr>
      </w:pPr>
      <w:r>
        <w:rPr>
          <w:rFonts w:eastAsia="Times New Roman" w:cs="Times New Roman" w:ascii="Times New Roman" w:hAnsi="Times New Roman"/>
          <w:b/>
          <w:sz w:val="24"/>
          <w:szCs w:val="24"/>
          <w:lang w:eastAsia="pl-PL"/>
        </w:rPr>
        <w:t>2.2.</w:t>
      </w:r>
      <w:r>
        <w:rPr>
          <w:rFonts w:eastAsia="Times New Roman" w:cs="Times New Roman" w:ascii="Times New Roman" w:hAnsi="Times New Roman"/>
          <w:sz w:val="24"/>
          <w:szCs w:val="24"/>
          <w:lang w:eastAsia="pl-PL"/>
        </w:rPr>
        <w:t xml:space="preserve"> </w:t>
      </w:r>
      <w:r>
        <w:rPr>
          <w:rStyle w:val="Strong"/>
          <w:rFonts w:cs="Times New Roman" w:ascii="Times New Roman" w:hAnsi="Times New Roman"/>
          <w:sz w:val="24"/>
          <w:szCs w:val="24"/>
        </w:rPr>
        <w:t>Przegląd działalności projektowej, inwestycyjnej, organizacyjnej, kosztów funkcjonowania oraz wsparcia dzieci ze specjalnymi potrzebami w Przedszkolu nr 1 w Luboniu za rok 2024</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W trakcie posiedzenia Komisji Budżetu i Finansów Pani Dyrektor </w:t>
        <w:br/>
        <w:t>Przedszkola nr 1 w Luboniu przedstawiła kompleksową informację dotyczącą funkcjonowania placówki w roku 2024. Omówiono realizację programu unijnego, działania inwestycyjne, zagospodarowanie przestrzeni, organizację techniczną oraz kwestie związane z pomocą dzieciom ze specjalnymi potrzebami edukacyjnymi, w tym dzieciom z Ukrainy oraz innych krajów.</w:t>
      </w:r>
    </w:p>
    <w:p>
      <w:pPr>
        <w:pStyle w:val="Nagwek3"/>
        <w:spacing w:before="280" w:after="280"/>
        <w:ind w:left="1410" w:hanging="0"/>
        <w:jc w:val="both"/>
        <w:rPr>
          <w:sz w:val="24"/>
          <w:szCs w:val="24"/>
        </w:rPr>
      </w:pPr>
      <w:r>
        <w:rPr>
          <w:sz w:val="24"/>
          <w:szCs w:val="24"/>
        </w:rPr>
        <w:t>2.2.1 Realizacja projektu unijnego</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Przedszkole realizuje trzyletni projekt współfinansowany ze środków Unii Europejskiej (2024–2027), którego łączna wartość, wspólnie z Przedszkolem nr 5, wynosi blisko 1 mln zł. Celem programu jest rozwój potencjału edukacyjnego i terapeutycznego placówek, w szczególności w zakresie wsparcia dzieci ze specjalnymi potrzebami.</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Już na etapie składania wniosku wymagane było szczegółowe zaplanowanie wszystkich działań, w tym tematów wycieczek, harmonogramów zajęć, form wsparcia i spodziewanych efektów. Przygotowanie dokumentacji wymagało dużego zaangażowania kadry kierowniczej, która w bardzo krótkim czasie opracowała kompletny projekt zgodny z rygorystycznymi wytycznymi formalnymi.</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W ramach realizacji programu zakupiono m.in. laptopy i tablice multimedialne do sal dydaktycznych, wyposażono salę logopedyczną i salę integracji sensorycznej (SI), a także zorganizowano specjalne „kąciki wyciszenia </w:t>
        <w:br/>
        <w:t xml:space="preserve">i relaksu”, w tym jeden w przestrzeni wspólnej na piętrze. Dzieci objęte są dodatkowymi zajęciami, a kadra przedszkola uczestniczy w szkoleniach </w:t>
        <w:br/>
        <w:t>z zakresu integracji sensorycznej, pracy z dziećmi o zróżnicowanych potrzebach oraz komunikacji społecznej. Szkolenia są finansowane zarówno z budżetu projektu, jak i z własnych środków, aby objąć wszystkie nauczycielki.</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W ramach projektu zatrudniono również specjalistów:</w:t>
      </w:r>
    </w:p>
    <w:p>
      <w:pPr>
        <w:pStyle w:val="Normal"/>
        <w:numPr>
          <w:ilvl w:val="0"/>
          <w:numId w:val="23"/>
        </w:numPr>
        <w:tabs>
          <w:tab w:val="clear" w:pos="708"/>
          <w:tab w:val="left" w:pos="2130" w:leader="none"/>
        </w:tabs>
        <w:spacing w:lineRule="auto" w:line="240" w:beforeAutospacing="1" w:after="0"/>
        <w:ind w:left="2130" w:hanging="360"/>
        <w:jc w:val="both"/>
        <w:rPr>
          <w:rFonts w:ascii="Times New Roman" w:hAnsi="Times New Roman" w:cs="Times New Roman"/>
          <w:sz w:val="24"/>
          <w:szCs w:val="24"/>
        </w:rPr>
      </w:pPr>
      <w:r>
        <w:rPr>
          <w:rFonts w:cs="Times New Roman" w:ascii="Times New Roman" w:hAnsi="Times New Roman"/>
          <w:sz w:val="24"/>
          <w:szCs w:val="24"/>
        </w:rPr>
        <w:t>logopedę (5 godz. tygodniowo),</w:t>
      </w:r>
    </w:p>
    <w:p>
      <w:pPr>
        <w:pStyle w:val="Normal"/>
        <w:numPr>
          <w:ilvl w:val="0"/>
          <w:numId w:val="23"/>
        </w:numPr>
        <w:tabs>
          <w:tab w:val="clear" w:pos="708"/>
          <w:tab w:val="left" w:pos="2130" w:leader="none"/>
        </w:tabs>
        <w:spacing w:lineRule="auto" w:line="240" w:before="0" w:after="0"/>
        <w:ind w:left="2130" w:hanging="360"/>
        <w:jc w:val="both"/>
        <w:rPr>
          <w:rFonts w:ascii="Times New Roman" w:hAnsi="Times New Roman" w:cs="Times New Roman"/>
          <w:sz w:val="24"/>
          <w:szCs w:val="24"/>
        </w:rPr>
      </w:pPr>
      <w:r>
        <w:rPr>
          <w:rFonts w:cs="Times New Roman" w:ascii="Times New Roman" w:hAnsi="Times New Roman"/>
          <w:sz w:val="24"/>
          <w:szCs w:val="24"/>
        </w:rPr>
        <w:t>pedagoga specjalnego (4 godz. tygodniowo),</w:t>
      </w:r>
    </w:p>
    <w:p>
      <w:pPr>
        <w:pStyle w:val="Normal"/>
        <w:numPr>
          <w:ilvl w:val="0"/>
          <w:numId w:val="23"/>
        </w:numPr>
        <w:tabs>
          <w:tab w:val="clear" w:pos="708"/>
          <w:tab w:val="left" w:pos="2130" w:leader="none"/>
        </w:tabs>
        <w:spacing w:lineRule="auto" w:line="240" w:before="0" w:afterAutospacing="1"/>
        <w:ind w:left="2130" w:hanging="360"/>
        <w:jc w:val="both"/>
        <w:rPr>
          <w:rFonts w:ascii="Times New Roman" w:hAnsi="Times New Roman" w:cs="Times New Roman"/>
          <w:sz w:val="24"/>
          <w:szCs w:val="24"/>
        </w:rPr>
      </w:pPr>
      <w:r>
        <w:rPr>
          <w:rFonts w:cs="Times New Roman" w:ascii="Times New Roman" w:hAnsi="Times New Roman"/>
          <w:sz w:val="24"/>
          <w:szCs w:val="24"/>
        </w:rPr>
        <w:t>psychologa (również 4 godz. tygodniowo, od stycznia 2025 r.).</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Realizacja i rozliczenie projektu przebiega w cyklach kwartalnych. Każdy zakup musi być poprzedzony analizą ofert z co najmniej trzech źródeł, udokumentowany i uzasadniony. W przypadku niewykorzystania środków </w:t>
        <w:br/>
        <w:t xml:space="preserve">w danym kwartale, istnieje możliwość przesunięcia ich na kolejne okresy, pod warunkiem złożenia stosownego wniosku. Pani Dyrektor podkreśliła, </w:t>
        <w:br/>
        <w:t>że przestrzeganie harmonogramu i procedur jest kluczowe, aby uniknąć ewentualnych zwrotów środków po zakończeniu projektu.</w:t>
      </w:r>
    </w:p>
    <w:p>
      <w:pPr>
        <w:pStyle w:val="Nagwek3"/>
        <w:spacing w:before="280" w:after="280"/>
        <w:ind w:left="1410" w:hanging="0"/>
        <w:jc w:val="both"/>
        <w:rPr>
          <w:sz w:val="24"/>
          <w:szCs w:val="24"/>
        </w:rPr>
      </w:pPr>
      <w:r>
        <w:rPr>
          <w:sz w:val="24"/>
          <w:szCs w:val="24"/>
        </w:rPr>
        <w:t>2.2.2. Inwestycje i organizacja przestrzeni</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Z własnych środków oraz przy współpracy z Radą Rodziców, przedszkole zrealizowało szereg inwestycji uzupełniających. M.in. zamontowano specjalną belkę sufitową umożliwiającą zawieszenie pomocy sensorycznych w sali SI (huśtawki, hamaki, ścianki wspinaczkowe), co pozwoliło w pełni wykorzystać zakupione wyposażenie.</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W zakresie wyposażenia multimedialnego placówka posiada dwie tablice interaktywne, które rotacyjnie są wykorzystywane w ośmiu salach dydaktycznych. System ten opiera się na harmonogramie zapisów, jednak </w:t>
        <w:br/>
        <w:t xml:space="preserve">z uwagi na rosnące potrzeby planowane są dalsze zakupy tego typu sprzętu. </w:t>
        <w:br/>
        <w:t>Do dyspozycji nauczycieli są również laptopy i telewizory.</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Pani Dyrektor przedstawiła także koncepcję rozwoju przestrzeni zewnętrznej </w:t>
        <w:br/>
        <w:t xml:space="preserve">– w szczególności utworzenia </w:t>
      </w:r>
      <w:r>
        <w:rPr>
          <w:rStyle w:val="Strong"/>
          <w:rFonts w:cs="Times New Roman" w:ascii="Times New Roman" w:hAnsi="Times New Roman"/>
          <w:sz w:val="24"/>
          <w:szCs w:val="24"/>
        </w:rPr>
        <w:t>ścieżki sensorycznej</w:t>
      </w:r>
      <w:r>
        <w:rPr>
          <w:rFonts w:cs="Times New Roman" w:ascii="Times New Roman" w:hAnsi="Times New Roman"/>
          <w:sz w:val="24"/>
          <w:szCs w:val="24"/>
        </w:rPr>
        <w:t xml:space="preserve"> z wykorzystaniem naturalnych materiałów, takich jak szyszki, kora, kamienie i piasek. Projekt ten wpisuje się w ideę ogrodu zmysłów i jest kontynuacją wcześniejszych inicjatyw realizowanych we współpracy z rodzicami, m.in. nasadzeń drzew owocowych </w:t>
        <w:br/>
        <w:t>i zakładania skrzynek ogrodowych, którymi opiekują się dzieci.</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W ramach współpracy z Radą Rodziców planowane są również zakupy nowych domków zabawowych z atestami oraz bezpiecznych siedzisk do istniejących huśtawek. Planowane jest również ustawienie skrzyń na sprzęt ogrodowy (łopatki, wiaderka), aby dzieci mogły samodzielnie sprzątać po zakończonej zabawie.</w:t>
      </w:r>
    </w:p>
    <w:p>
      <w:pPr>
        <w:pStyle w:val="Nagwek3"/>
        <w:spacing w:before="280" w:after="280"/>
        <w:ind w:left="1410" w:hanging="0"/>
        <w:jc w:val="both"/>
        <w:rPr>
          <w:sz w:val="24"/>
          <w:szCs w:val="24"/>
        </w:rPr>
      </w:pPr>
      <w:r>
        <w:rPr>
          <w:sz w:val="24"/>
          <w:szCs w:val="24"/>
        </w:rPr>
        <w:t>2.2.3. Koszty funkcjonowania i bezpieczeństwo techniczne</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Roczne koszty zużycia mediów (energia elektryczna, gaz, woda) wyniosły </w:t>
        <w:br/>
        <w:t xml:space="preserve">ok. 194 tys. zł. Największy udział mają energia i gaz, których zużycie wzrasta </w:t>
        <w:br/>
        <w:t>w sezonie grzewczym – średnio ok. 16 tys. zł miesięcznie. Przedszkole korzysta z usług jednego operatora telekomunikacyjnego; funkcjonują cztery numery telefonów komórkowych (w tym do systemów alarmowych i windy), jeden telefon stacjonarny oraz usługa internetu.</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Budynek wyposażony jest w system </w:t>
      </w:r>
      <w:r>
        <w:rPr>
          <w:rStyle w:val="Strong"/>
          <w:rFonts w:cs="Times New Roman" w:ascii="Times New Roman" w:hAnsi="Times New Roman"/>
          <w:sz w:val="24"/>
          <w:szCs w:val="24"/>
        </w:rPr>
        <w:t>rekuperacji</w:t>
      </w:r>
      <w:r>
        <w:rPr>
          <w:rFonts w:cs="Times New Roman" w:ascii="Times New Roman" w:hAnsi="Times New Roman"/>
          <w:sz w:val="24"/>
          <w:szCs w:val="24"/>
        </w:rPr>
        <w:t xml:space="preserve"> (wentylacji mechanicznej </w:t>
        <w:br/>
        <w:t xml:space="preserve">z odzyskiem ciepła), jednak – jak wskazano – jego efektywność bywa ograniczona, zwłaszcza latem, kiedy system wtłacza nagrzane powietrze </w:t>
        <w:br/>
        <w:t>z zewnątrz, a użytkownicy dodatkowo otwierają okna. W takich warunkach wzrasta zużycie energii przez klimatyzację. Nad eksploatacją i optymalizacją infrastruktury technicznej czuwa wyznaczony pracownik.</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W trakcie dyskusji poruszono również temat zagrożeń związanych </w:t>
        <w:br/>
        <w:t>z użytkowaniem urządzeń zasilanych akumulatorowo (np. hulajnóg elektrycznych, ładowarek), które – niewłaściwie używane – mogą stwarzać ryzyko pożaru. Podkreślono wagę znajomości lokalizacji głównych wyłączników zasilania przez personel oraz konieczność aktualizacji procedur ewakuacyjnych. Instalacja fotowoltaiczna, choć przewidziana, nie została jeszcze uruchomiona ze względu na trwający okres gwarancyjny budynku.</w:t>
      </w:r>
    </w:p>
    <w:p>
      <w:pPr>
        <w:pStyle w:val="Nagwek3"/>
        <w:spacing w:before="280" w:after="280"/>
        <w:ind w:left="1410" w:hanging="0"/>
        <w:jc w:val="both"/>
        <w:rPr>
          <w:sz w:val="24"/>
          <w:szCs w:val="24"/>
        </w:rPr>
      </w:pPr>
      <w:r>
        <w:rPr>
          <w:sz w:val="24"/>
          <w:szCs w:val="24"/>
        </w:rPr>
        <w:t>2.2.4. Wsparcie dla dzieci z Ukrainy i dzieci z niepełnosprawnościami</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Pani Dyrektor przedstawiła również działania podejmowane na rzecz dzieci </w:t>
        <w:br/>
        <w:t xml:space="preserve">z niepełnosprawnościami oraz dzieci cudzoziemskich – w tym z Ukrainy </w:t>
        <w:br/>
        <w:t xml:space="preserve">i innych państw – które nie posługują się językiem polskim. Podkreślono, </w:t>
        <w:br/>
        <w:t>że dzieci te często doświadczyły traumy, funkcjonują w warunkach niestabilnej sytuacji rodzinnej i wymagają wsparcia wielowymiarowego: terapeutycznego, edukacyjnego i emocjonalnego.</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Dla dzieci z trudnościami komunikacyjnymi opracowuje się indywidualne plany pracy, oparte m.in. na wizualnym przedstawieniu kolejnych aktywności w ciągu dnia. Pomaga to w budowaniu poczucia bezpieczeństwa i przewidywalności oraz ułatwia dzieciom funkcjonowanie w grupie. W uzasadnionych przypadkach placówka organizuje dodatkowe wsparcie nauczycielskie oraz zajęcia dostosowane do indywidualnych potrzeb dziecka – obejmujące rozwój komunikacji, umiejętności społecznych i edukacyjnych.</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Środki na realizację tych działań pochodzą z budżetu państwa, a ich wysokość uzależniona jest od liczby godzin wskazanych w orzeczeniu oraz rodzaju niepełnosprawności, zgodnie z przepisami dotyczącymi finansowania oświaty. Wsparcie to obejmuje również zakup pomocy dydaktycznych i terapeutycznych.</w:t>
      </w:r>
    </w:p>
    <w:p>
      <w:pPr>
        <w:pStyle w:val="Normal"/>
        <w:spacing w:beforeAutospacing="1" w:afterAutospacing="1"/>
        <w:ind w:left="1410" w:hanging="0"/>
        <w:jc w:val="both"/>
        <w:rPr>
          <w:rFonts w:ascii="Times New Roman" w:hAnsi="Times New Roman" w:cs="Times New Roman"/>
          <w:sz w:val="24"/>
          <w:szCs w:val="24"/>
        </w:rPr>
      </w:pPr>
      <w:r>
        <w:rPr>
          <w:rFonts w:cs="Times New Roman" w:ascii="Times New Roman" w:hAnsi="Times New Roman"/>
          <w:sz w:val="24"/>
          <w:szCs w:val="24"/>
        </w:rPr>
        <w:t xml:space="preserve">Zwrócono uwagę na wyzwania związane ze współpracą z częścią rodziców, którzy nie zawsze przyjmują do wiadomości konieczność kontynuowania terapii lub współdziałania z zespołem specjalistów. Pomimo tego, przedszkole – kierując się dobrem dzieci – podejmuje wszelkie dostępne działania wychowawcze i wspierające, a kadra wykazuje duże zaangażowanie </w:t>
        <w:br/>
        <w:t>w budowanie bezpiecznego i otwartego środowiska edukacyjnego.</w:t>
      </w:r>
    </w:p>
    <w:p>
      <w:pPr>
        <w:pStyle w:val="Normal"/>
        <w:spacing w:lineRule="auto" w:line="240" w:beforeAutospacing="1" w:afterAutospacing="1"/>
        <w:ind w:left="1410" w:firstLine="3"/>
        <w:jc w:val="both"/>
        <w:rPr>
          <w:rFonts w:ascii="Times New Roman" w:hAnsi="Times New Roman" w:eastAsia="Times New Roman" w:cs="Times New Roman"/>
          <w:b/>
          <w:bCs/>
          <w:sz w:val="24"/>
          <w:szCs w:val="24"/>
          <w:lang w:eastAsia="pl-PL"/>
        </w:rPr>
      </w:pPr>
      <w:r>
        <w:rPr>
          <w:rFonts w:cs="Times New Roman" w:ascii="Times New Roman" w:hAnsi="Times New Roman"/>
          <w:sz w:val="24"/>
          <w:szCs w:val="24"/>
        </w:rPr>
        <w:t xml:space="preserve">Po zakończeniu przeglądu gospodarki finansowej oraz działalności organizacyjnej Przedszkola nr 1 w Luboniu, członkowie Komisji Budżetu </w:t>
        <w:br/>
        <w:t>i Finansów zakończyli pierwszą część posiedzenia. Spotkanie w placówce pozwoliło na szczegółowe zapoznanie się z sytuacją jednostki oraz uzyskanie odpowiedzi na bieżące pytania. Następnie komisja udała się do Sali Sesyjnej Urzędu Miasta Luboń, gdzie kontynuowano obrady w ramach drugiej części posiedzenia, poświęconej opiniowaniu projektów uchwał na najbliższą Sesję Rady Miasta.</w:t>
      </w:r>
    </w:p>
    <w:p>
      <w:pPr>
        <w:pStyle w:val="Normal"/>
        <w:spacing w:lineRule="auto" w:line="240" w:beforeAutospacing="1" w:afterAutospacing="1"/>
        <w:ind w:left="708" w:hanging="0"/>
        <w:jc w:val="both"/>
        <w:rPr>
          <w:rFonts w:ascii="Times New Roman" w:hAnsi="Times New Roman" w:eastAsia="Times New Roman" w:cs="Times New Roman"/>
          <w:b/>
          <w:bCs/>
          <w:sz w:val="24"/>
          <w:szCs w:val="24"/>
          <w:u w:val="single"/>
          <w:lang w:eastAsia="pl-PL"/>
        </w:rPr>
      </w:pPr>
      <w:r>
        <w:rPr>
          <w:rFonts w:eastAsia="Times New Roman" w:cs="Times New Roman" w:ascii="Times New Roman" w:hAnsi="Times New Roman"/>
          <w:b/>
          <w:bCs/>
          <w:sz w:val="24"/>
          <w:szCs w:val="24"/>
          <w:u w:val="single"/>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3. Opiniowanie projektu uchwały w sprawie realizacji ze środków Funduszu Solidarnościowego programu „Asystent osobisty osoby z niepełnosprawnością” – edycja 2025</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Opiniowanie uchwał na sesję Rady Miasta Komisja rozpoczęła od omówienia projektu uchwały dotyczącej przystąpienia Miasta Luboń do realizacji programu „Asystent osobisty osoby z niepełnosprawnością” dla Jednostek Samorządu Terytorialnego – edycja 2025, finansowanego w całości ze środków Funduszu Solidarnościowego. Jak wskazano podczas dyskusji, projekt uchwały pojawia się corocznie, a jego realizacja nie generuje skutków finansowych dla budżetu miasta – całkowita wartość programu wynosi 719 712,00 zł i w całości pokrywana jest z funduszu centralnego. W związku z tym, jak zauważono, „wydamy tyle, ile dostajemy”.</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Program zakłada świadczenie usług asystencji osobistej osobom </w:t>
        <w:br/>
        <w:t>z niepełnosprawnościami, w tym dzieciom od 2. do 16. roku życia oraz osobom dorosłym z orzeczeniem o umiarkowanym lub znacznym stopniu niepełnosprawności. Zakres usług obejmuje m.in. wsparcie w czynnościach samoobsługowych, prowadzeniu gospodarstwa domowego, przemieszczaniu się oraz komunikowaniu z otoczeniem.</w:t>
      </w:r>
    </w:p>
    <w:p>
      <w:pPr>
        <w:pStyle w:val="Normal"/>
        <w:spacing w:lineRule="auto" w:line="240"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Zgodnie z projektem uchwały:</w:t>
      </w:r>
    </w:p>
    <w:p>
      <w:pPr>
        <w:pStyle w:val="Normal"/>
        <w:numPr>
          <w:ilvl w:val="0"/>
          <w:numId w:val="3"/>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Program będzie realizowany przez Miejski Ośrodek Pomocy Społecznej w Luboniu.</w:t>
      </w:r>
    </w:p>
    <w:p>
      <w:pPr>
        <w:pStyle w:val="Normal"/>
        <w:numPr>
          <w:ilvl w:val="0"/>
          <w:numId w:val="3"/>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Uczestnicy nie ponoszą odpłatności za usługi asystenckie.</w:t>
      </w:r>
    </w:p>
    <w:p>
      <w:pPr>
        <w:pStyle w:val="Normal"/>
        <w:numPr>
          <w:ilvl w:val="0"/>
          <w:numId w:val="3"/>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Limit godzin przypadających na jednego uczestnika waha się od 360 do 840 godzin rocznie, w zależności od stopnia niepełnosprawności i wskazań w orzeczeniu.</w:t>
      </w:r>
    </w:p>
    <w:p>
      <w:pPr>
        <w:pStyle w:val="Normal"/>
        <w:numPr>
          <w:ilvl w:val="0"/>
          <w:numId w:val="3"/>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Okres realizacji programu obejmuje czas od podpisania umowy z Wojewodą Wielkopolskim do 31 grudnia 2025 r.</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toku posiedzenia nie zgłoszono uwag ani pytań do projektu. Komisja jednogłośnie zaopiniowała projekt uchwały pozytywnie – za głosowało 10 członków Komisji.</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4. Opiniowanie projektu uchwały w sprawie przyjęcia Gminnego Programu Osłonowego „Korpus Wsparcia Seniorów” na rok 2025 w Gminie Luboń</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Kolejnym omawianym punktem obrad Komisji Budżetu i Finansów był projekt uchwały dotyczący przyjęcia Gminnego Programu Osłonowego „Korpus Wsparcia Seniorów” na rok 2025. Jak wskazano podczas posiedzenia, program ten jest kontynuacją działań zapoczątkowanych w 2022 roku i obejmuje wsparcie seniorów w formie tzw. „opieki na odległość”, m.in. poprzez finansowanie użytkowania opasek bezpieczeństwa zakupionych we wcześniejszych edycjach programu. Program realizowany będzie przez Miejski Ośrodek Pomocy Społecznej w Luboniu.</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Skarbnik Miasta potwierdził, że realizacja programu będzie finansowana z dotacji celowej z budżetu państwa, a udział środków własnych gminy wynosi nie mniej niż 20% kosztów całkowitych. Program kierowany jest do mieszkańców Lubonia w wieku 60 lat i więcej, którzy z uwagi na wiek lub stan zdrowia mają trudności z samodzielnym funkcjonowaniem. Adresatami programu są zarówno osoby prowadzące samodzielne gospodarstwa domowe, jak i mieszkające z bliskimi, którzy nie są w stanie zapewnić im odpowiedniego wsparcia.</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Członkowie Komisji nie zgłosili uwag ani dodatkowych pytań. W głosowaniu nad projektem uchwały wszyscy obecni radni (10 osób) opowiedzieli się za jego pozytywnym zaopiniowaniem.</w:t>
      </w:r>
    </w:p>
    <w:p>
      <w:pPr>
        <w:pStyle w:val="Normal"/>
        <w:spacing w:lineRule="auto" w:line="240" w:beforeAutospacing="1" w:afterAutospacing="1"/>
        <w:jc w:val="both"/>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5. Opiniowanie projektu uchwały w sprawie realizacji ze środków Funduszu Solidarnościowego Programu „Opieka wytchnieniowa” dla jednostek samorządu terytorialnego – edycja 2025</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kolejnym punkcie obrad Komisja Budżetu i Finansów rozpatrzyła projekt uchwały w sprawie przystąpienia Miasta Luboń do realizacji Programu „Opieka wytchnieniowa” – edycja 2025, finansowanego w całości z Funduszu Solidarnościowego. W ramach krótkiego wprowadzenia wskazano, że program ten jest kontynuacją wcześniejszych edycji, a jego założenia są członkom Komisji dobrze znane. Burmistrz Miasta oraz Skarbnik potwierdzili, że całkowita wartość programu wynosi </w:t>
      </w:r>
      <w:r>
        <w:rPr>
          <w:rFonts w:eastAsia="Times New Roman" w:cs="Times New Roman" w:ascii="Times New Roman" w:hAnsi="Times New Roman"/>
          <w:b/>
          <w:bCs/>
          <w:sz w:val="24"/>
          <w:szCs w:val="24"/>
          <w:lang w:eastAsia="pl-PL"/>
        </w:rPr>
        <w:t>250 092,00 zł</w:t>
      </w:r>
      <w:r>
        <w:rPr>
          <w:rFonts w:eastAsia="Times New Roman" w:cs="Times New Roman" w:ascii="Times New Roman" w:hAnsi="Times New Roman"/>
          <w:sz w:val="24"/>
          <w:szCs w:val="24"/>
          <w:lang w:eastAsia="pl-PL"/>
        </w:rPr>
        <w:t xml:space="preserve"> i całość tej kwoty stanowi dotacja z Funduszu Solidarnościowego.</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Program ma na celu wsparcie członków rodzin i opiekunów osób </w:t>
        <w:br/>
        <w:t>z niepełnosprawnością, poprzez zapewnienie im czasowego zastępstwa w codziennych obowiązkach opiekuńczych. Adresatami programu są:</w:t>
      </w:r>
    </w:p>
    <w:p>
      <w:pPr>
        <w:pStyle w:val="Normal"/>
        <w:numPr>
          <w:ilvl w:val="0"/>
          <w:numId w:val="4"/>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dzieci w wieku od 2 do 16 lat posiadające orzeczenie o niepełnosprawności,</w:t>
      </w:r>
    </w:p>
    <w:p>
      <w:pPr>
        <w:pStyle w:val="Normal"/>
        <w:numPr>
          <w:ilvl w:val="0"/>
          <w:numId w:val="4"/>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osoby z orzeczeniem o znacznym stopniu niepełnosprawności lub z orzeczeniem traktowanym na równi.</w:t>
      </w:r>
    </w:p>
    <w:p>
      <w:pPr>
        <w:pStyle w:val="Normal"/>
        <w:spacing w:lineRule="auto" w:line="240"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Usługi opieki wytchnieniowej będą realizowane w dwóch formach:</w:t>
      </w:r>
    </w:p>
    <w:p>
      <w:pPr>
        <w:pStyle w:val="Normal"/>
        <w:numPr>
          <w:ilvl w:val="0"/>
          <w:numId w:val="5"/>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pobyt dzienny</w:t>
      </w:r>
      <w:r>
        <w:rPr>
          <w:rFonts w:eastAsia="Times New Roman" w:cs="Times New Roman" w:ascii="Times New Roman" w:hAnsi="Times New Roman"/>
          <w:sz w:val="24"/>
          <w:szCs w:val="24"/>
          <w:lang w:eastAsia="pl-PL"/>
        </w:rPr>
        <w:t xml:space="preserve"> – maksymalnie 240 godzin rocznie na osobę,</w:t>
      </w:r>
    </w:p>
    <w:p>
      <w:pPr>
        <w:pStyle w:val="Normal"/>
        <w:numPr>
          <w:ilvl w:val="0"/>
          <w:numId w:val="5"/>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pobyt całodobowy</w:t>
      </w:r>
      <w:r>
        <w:rPr>
          <w:rFonts w:eastAsia="Times New Roman" w:cs="Times New Roman" w:ascii="Times New Roman" w:hAnsi="Times New Roman"/>
          <w:sz w:val="24"/>
          <w:szCs w:val="24"/>
          <w:lang w:eastAsia="pl-PL"/>
        </w:rPr>
        <w:t xml:space="preserve"> – maksymalnie 14 dób rocznie na osobę.</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Zgodnie z zapisami projektu uchwały, pomoc przysługuje w przypadku, gdy osoba sprawująca opiekę zamieszkuje wspólnie z osobą z niepełnosprawnością. Uczestnicy programu nie ponoszą żadnych kosztów za realizowane usługi. Zadanie realizować będzie Miejski Ośrodek Pomocy Społecznej w Luboniu, a okres realizacji programu wyznaczono od dnia podpisania umowy z Wojewodą Wielkopolskim do dnia 31 grudnia 2025 r.</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toku posiedzenia nie zgłoszono żadnych pytań ani uwag. W głosowaniu nad projektem uchwały 10 członków Komisji jednogłośnie opowiedziało się za jego pozytywnym zaopiniowaniem.</w:t>
      </w:r>
    </w:p>
    <w:p>
      <w:pPr>
        <w:pStyle w:val="Normal"/>
        <w:spacing w:lineRule="auto" w:line="240" w:beforeAutospacing="1" w:afterAutospacing="1"/>
        <w:ind w:left="708" w:hanging="0"/>
        <w:jc w:val="both"/>
        <w:rPr>
          <w:rFonts w:ascii="Times New Roman" w:hAnsi="Times New Roman" w:eastAsia="Times New Roman" w:cs="Times New Roman"/>
          <w:b/>
          <w:bCs/>
          <w:sz w:val="24"/>
          <w:szCs w:val="24"/>
          <w:u w:val="single"/>
          <w:lang w:eastAsia="pl-PL"/>
        </w:rPr>
      </w:pPr>
      <w:r>
        <w:rPr>
          <w:rFonts w:eastAsia="Times New Roman" w:cs="Times New Roman" w:ascii="Times New Roman" w:hAnsi="Times New Roman"/>
          <w:b/>
          <w:bCs/>
          <w:sz w:val="24"/>
          <w:szCs w:val="24"/>
          <w:u w:val="single"/>
          <w:lang w:eastAsia="pl-PL"/>
        </w:rPr>
      </w:r>
    </w:p>
    <w:p>
      <w:pPr>
        <w:pStyle w:val="Normal"/>
        <w:spacing w:lineRule="auto" w:line="240" w:beforeAutospacing="1" w:afterAutospacing="1"/>
        <w:ind w:left="708" w:hanging="0"/>
        <w:jc w:val="both"/>
        <w:rPr>
          <w:rFonts w:ascii="Times New Roman" w:hAnsi="Times New Roman" w:eastAsia="Times New Roman" w:cs="Times New Roman"/>
          <w:b/>
          <w:sz w:val="24"/>
          <w:szCs w:val="24"/>
          <w:u w:val="single"/>
          <w:lang w:eastAsia="pl-PL"/>
        </w:rPr>
      </w:pPr>
      <w:r>
        <w:rPr>
          <w:rFonts w:eastAsia="Times New Roman" w:cs="Times New Roman" w:ascii="Times New Roman" w:hAnsi="Times New Roman"/>
          <w:b/>
          <w:bCs/>
          <w:sz w:val="24"/>
          <w:szCs w:val="24"/>
          <w:u w:val="single"/>
          <w:lang w:eastAsia="pl-PL"/>
        </w:rPr>
        <w:t>6. Opiniowanie projektu uchwały zmieniającej uchwałę w sprawie szczegółowych warunków przyznawania i odpłatności za usługi opiekuńcze i specjalistyczne usługi opiekuńcze oraz usług sąsiedzkich</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szóstym punkcie obrad Komisji Budżetu i Finansów przedstawiono projekt uchwały zmieniającej obowiązującą uchwałę Nr III/22/2024 Rady Miasta Luboń, dotyczącą zasad przyznawania oraz odpłatności za usługi opiekuńcze i specjalistyczne usługi opiekuńcze, a także szczegółowych warunków usług sąsiedzkich. Jak wskazano </w:t>
        <w:br/>
        <w:t>w trakcie posiedzenia, zmiana ma charakter techniczny i dotyczy wyłącznie aktualizacji stawki bazowej za jedną godzinę świadczonych usług opiekuńczych.</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Zgodnie z projektem, </w:t>
      </w:r>
      <w:r>
        <w:rPr>
          <w:rFonts w:eastAsia="Times New Roman" w:cs="Times New Roman" w:ascii="Times New Roman" w:hAnsi="Times New Roman"/>
          <w:b/>
          <w:bCs/>
          <w:sz w:val="24"/>
          <w:szCs w:val="24"/>
          <w:lang w:eastAsia="pl-PL"/>
        </w:rPr>
        <w:t>koszt jednej godziny usługi opiekuńczej w 2025 roku ustalono na poziomie 40,30 zł</w:t>
      </w:r>
      <w:r>
        <w:rPr>
          <w:rFonts w:eastAsia="Times New Roman" w:cs="Times New Roman" w:ascii="Times New Roman" w:hAnsi="Times New Roman"/>
          <w:sz w:val="24"/>
          <w:szCs w:val="24"/>
          <w:lang w:eastAsia="pl-PL"/>
        </w:rPr>
        <w:t>. Aktualizacja tej stawki umożliwia gminie realne planowanie wydatków oraz skuteczne aplikowanie o środki z programów rządowych, w tym m.in. z programu „Opieka 75+”, w ramach którego możliwe jest uzyskanie dofinansowania do 60% kosztów realizacji zadania.</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Podczas posiedzenia wyjaśniono również, że poziom współfinansowania zależy od konkretnego programu – w niektórych przypadkach dotacja może wynosić do 60%, </w:t>
        <w:br/>
        <w:t>w innych do 80%, jednak nigdy nie pokrywa pełnych 100% kosztów. W omawianym przypadku zapewniono, że środki na pokrycie udziału własnego gminy zostały zabezpieczone.</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Nie zgłoszono dodatkowych pytań ani wątpliwości. W głosowaniu 10 członków Komisji jednogłośnie opowiedziało się za pozytywnym zaopiniowaniem projektu uchwały.</w:t>
      </w:r>
    </w:p>
    <w:p>
      <w:pPr>
        <w:pStyle w:val="Normal"/>
        <w:spacing w:lineRule="auto" w:line="240" w:beforeAutospacing="1" w:afterAutospacing="1"/>
        <w:ind w:left="708" w:hanging="0"/>
        <w:jc w:val="both"/>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 xml:space="preserve">7. Opiniowanie projektu uchwały zmieniającej uchwałę w sprawie ustalenia trybu udzielania i rozliczania dotacji dla publicznych i niepublicznych podmiotów oświatowych prowadzonych przez inny niż jednostka samorządu terytorialnego organ oraz trybu przeprowadzania kontroli prawidłowości ich pobrania </w:t>
        <w:br/>
        <w:t>i wykorzystania</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kolejnym punkcie porządku obrad członkowie Komisji Budżetu i Finansów zajęli się projektem uchwały zmieniającej obowiązującą uchwałę nr LXI/455/2023 z dnia 20 lipca 2023 r., dotyczącą ustalenia trybu udzielania i rozliczania dotacji dla podmiotów prowadzących działalność oświatową na terenie miasta Luboń. Jak wskazała przedstawicielka Wydziału Oświaty, konieczność zmiany uchwały wynika </w:t>
        <w:br/>
        <w:t>z nowelizacji przepisów prawa, w szczególności ustawy o dochodach jednostek samorządu terytorialnego z dnia 1 października 2024 r. oraz rozporządzenia Ministra Edukacji z 18 grudnia 2024 r. w sprawie sposobu podziału łącznej kwoty potrzeb oświatowych między JST na rok 2025.</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związku z tym, że obecnie gminy nie otrzymują klasycznej subwencji oświatowej, </w:t>
        <w:br/>
        <w:t>a jedynie finansowanie w oparciu o wykazane „potrzeby oświatowe”, wprowadzono konieczność szczegółowego i comiesięcznego rozliczania liczby uczniów i ich statusu edukacyjnego przez wszystkie jednostki oświatowe prowadzone przez podmioty inne niż JST. Projekt uchwały zawiera trzy zaktualizowane załączniki (nr 1–3), które określają wzory formularzy i zakres danych niezbędnych do prawidłowego naliczania dotacji.</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toku dyskusji podkreślono, że zmiany w formularzach wprowadzają rozróżnienie między uczniami i wychowankami w zależności od rodzaju niepełnosprawności oraz zakresu godzin wsparcia, z jakiego korzystają. W szczególności dotyczy to dzieci </w:t>
        <w:br/>
        <w:t>i uczniów:</w:t>
      </w:r>
    </w:p>
    <w:p>
      <w:pPr>
        <w:pStyle w:val="Normal"/>
        <w:numPr>
          <w:ilvl w:val="0"/>
          <w:numId w:val="6"/>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 autyzmem, w tym zespołem Aspergera,</w:t>
      </w:r>
    </w:p>
    <w:p>
      <w:pPr>
        <w:pStyle w:val="Normal"/>
        <w:numPr>
          <w:ilvl w:val="0"/>
          <w:numId w:val="6"/>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 niepełnosprawnościami sprzężonymi,</w:t>
      </w:r>
    </w:p>
    <w:p>
      <w:pPr>
        <w:pStyle w:val="Normal"/>
        <w:numPr>
          <w:ilvl w:val="0"/>
          <w:numId w:val="6"/>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 innymi orzeczeniami o potrzebie kształcenia specjalnego, podzielonymi na grupy A, B, C i D.</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Zgodnie z nowymi przepisami, wnioskodawcy będą zobowiązani do dostarczania danych z podziałem na dwa okresy: </w:t>
      </w:r>
      <w:r>
        <w:rPr>
          <w:rFonts w:eastAsia="Times New Roman" w:cs="Times New Roman" w:ascii="Times New Roman" w:hAnsi="Times New Roman"/>
          <w:b/>
          <w:bCs/>
          <w:sz w:val="24"/>
          <w:szCs w:val="24"/>
          <w:lang w:eastAsia="pl-PL"/>
        </w:rPr>
        <w:t>styczeń–sierpień</w:t>
      </w:r>
      <w:r>
        <w:rPr>
          <w:rFonts w:eastAsia="Times New Roman" w:cs="Times New Roman" w:ascii="Times New Roman" w:hAnsi="Times New Roman"/>
          <w:sz w:val="24"/>
          <w:szCs w:val="24"/>
          <w:lang w:eastAsia="pl-PL"/>
        </w:rPr>
        <w:t xml:space="preserve"> oraz </w:t>
      </w:r>
      <w:r>
        <w:rPr>
          <w:rFonts w:eastAsia="Times New Roman" w:cs="Times New Roman" w:ascii="Times New Roman" w:hAnsi="Times New Roman"/>
          <w:b/>
          <w:bCs/>
          <w:sz w:val="24"/>
          <w:szCs w:val="24"/>
          <w:lang w:eastAsia="pl-PL"/>
        </w:rPr>
        <w:t>wrzesień–grudzień</w:t>
      </w:r>
      <w:r>
        <w:rPr>
          <w:rFonts w:eastAsia="Times New Roman" w:cs="Times New Roman" w:ascii="Times New Roman" w:hAnsi="Times New Roman"/>
          <w:sz w:val="24"/>
          <w:szCs w:val="24"/>
          <w:lang w:eastAsia="pl-PL"/>
        </w:rPr>
        <w:t xml:space="preserve">, </w:t>
        <w:br/>
        <w:t xml:space="preserve">a dodatkowo co miesiąc będą składać aktualizacje stanu liczbowego wychowanków </w:t>
        <w:br/>
        <w:t xml:space="preserve">i uczniów (załączniki nr 2 i 3). Dane te obejmują m.in. liczbę uczniów w oddziałach ogólnodostępnych, integracyjnych, specjalnych, a także szczegółowe informacje </w:t>
        <w:br/>
        <w:t>o godzinach wsparcia przypisanych uczniom z konkretnymi potrzebami edukacyjnymi.</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Podczas dyskusji pojawiły się pytania o termin rozliczania i możliwość korekty dotacji. Wskazano, że w poprzednim systemie rozliczenie było oparte na stanie z dnia 30 września i miało charakter sztywny, natomiast obecnie korekty mogą być wprowadzane częściej – w zależności od zmiennych danych uczniów. Jednocześnie zaznaczono, że kwestia ostatecznego terminu i trybu korygowania dotacji zostanie jeszcze wyjaśniona podczas sesji Rady Miasta, z udziałem przedstawicieli Wydziału Oświaty i Wydziału Budżetu.</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Członkowie Komisji dopytywali również, czy dotacje dotyczą także przedszkoli publicznych prowadzonych przez osoby prywatne – potwierdzono, że tak. Wskazano również, że niektóre podmioty niepubliczne mogą również korzystać z dotacji, pod warunkiem spełnienia określonych warunków ustawowych.</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głosowaniu nad projektem uchwały 10 członków Komisji jednogłośnie opowiedziało się za jej pozytywnym zaopiniowaniem.</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8. Opiniowanie projektu uchwały w sprawie udzielenia pomocy finansowej Powiatowi Poznańskiemu na realizację zadania z zakresu ochrony środowiska – usuwanie i unieszkodliwianie wyrobów zawierających azbest</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kolejnym punkcie porządku obrad członkowie Komisji Budżetu i Finansów przystąpili do rozpatrzenia projektu uchwały Rady Miasta Luboń w sprawie udzielenia pomocy finansowej Powiatowi Poznańskiemu. Zgodnie z zapisami projektu, w 2025 roku Miasto Luboń udzieli Powiatowi dotacji celowej w wysokości </w:t>
      </w:r>
      <w:r>
        <w:rPr>
          <w:rFonts w:eastAsia="Times New Roman" w:cs="Times New Roman" w:ascii="Times New Roman" w:hAnsi="Times New Roman"/>
          <w:b/>
          <w:bCs/>
          <w:sz w:val="24"/>
          <w:szCs w:val="24"/>
          <w:lang w:eastAsia="pl-PL"/>
        </w:rPr>
        <w:t>25 000,00 zł</w:t>
      </w:r>
      <w:r>
        <w:rPr>
          <w:rFonts w:eastAsia="Times New Roman" w:cs="Times New Roman" w:ascii="Times New Roman" w:hAnsi="Times New Roman"/>
          <w:sz w:val="24"/>
          <w:szCs w:val="24"/>
          <w:lang w:eastAsia="pl-PL"/>
        </w:rPr>
        <w:t xml:space="preserve"> </w:t>
        <w:br/>
        <w:t xml:space="preserve">z przeznaczeniem na realizację zadania związanego z </w:t>
      </w:r>
      <w:r>
        <w:rPr>
          <w:rFonts w:eastAsia="Times New Roman" w:cs="Times New Roman" w:ascii="Times New Roman" w:hAnsi="Times New Roman"/>
          <w:b/>
          <w:bCs/>
          <w:sz w:val="24"/>
          <w:szCs w:val="24"/>
          <w:lang w:eastAsia="pl-PL"/>
        </w:rPr>
        <w:t xml:space="preserve">usuwaniem </w:t>
        <w:br/>
        <w:t>i unieszkodliwianiem wyrobów zawierających azbest</w:t>
      </w:r>
      <w:r>
        <w:rPr>
          <w:rFonts w:eastAsia="Times New Roman" w:cs="Times New Roman" w:ascii="Times New Roman" w:hAnsi="Times New Roman"/>
          <w:sz w:val="24"/>
          <w:szCs w:val="24"/>
          <w:lang w:eastAsia="pl-PL"/>
        </w:rPr>
        <w:t>, stanowiącego element krajowego systemu ochrony środowiska.</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Podczas krótkiego omówienia projektu wskazano, że uchwała tego typu jest podejmowana </w:t>
      </w:r>
      <w:r>
        <w:rPr>
          <w:rFonts w:eastAsia="Times New Roman" w:cs="Times New Roman" w:ascii="Times New Roman" w:hAnsi="Times New Roman"/>
          <w:b/>
          <w:bCs/>
          <w:sz w:val="24"/>
          <w:szCs w:val="24"/>
          <w:lang w:eastAsia="pl-PL"/>
        </w:rPr>
        <w:t>corocznie</w:t>
      </w:r>
      <w:r>
        <w:rPr>
          <w:rFonts w:eastAsia="Times New Roman" w:cs="Times New Roman" w:ascii="Times New Roman" w:hAnsi="Times New Roman"/>
          <w:sz w:val="24"/>
          <w:szCs w:val="24"/>
          <w:lang w:eastAsia="pl-PL"/>
        </w:rPr>
        <w:t xml:space="preserve"> i stanowi kontynuację współpracy miasta ze Starostwem Powiatowym w ramach realizacji celów określonych w </w:t>
      </w:r>
      <w:r>
        <w:rPr>
          <w:rFonts w:eastAsia="Times New Roman" w:cs="Times New Roman" w:ascii="Times New Roman" w:hAnsi="Times New Roman"/>
          <w:i/>
          <w:iCs/>
          <w:sz w:val="24"/>
          <w:szCs w:val="24"/>
          <w:lang w:eastAsia="pl-PL"/>
        </w:rPr>
        <w:t>Krajowym Programie Usuwania Azbestu i wyrobów zawierających azbest na terenie Polski</w:t>
      </w:r>
      <w:r>
        <w:rPr>
          <w:rFonts w:eastAsia="Times New Roman" w:cs="Times New Roman" w:ascii="Times New Roman" w:hAnsi="Times New Roman"/>
          <w:sz w:val="24"/>
          <w:szCs w:val="24"/>
          <w:lang w:eastAsia="pl-PL"/>
        </w:rPr>
        <w:t xml:space="preserve">, przyjętym przez Radę Ministrów 14 maja 2002 r. Celem strategicznym programu jest całkowita eliminacja azbestu z przestrzeni publicznej i prywatnej w Polsce </w:t>
      </w:r>
      <w:r>
        <w:rPr>
          <w:rFonts w:eastAsia="Times New Roman" w:cs="Times New Roman" w:ascii="Times New Roman" w:hAnsi="Times New Roman"/>
          <w:b/>
          <w:bCs/>
          <w:sz w:val="24"/>
          <w:szCs w:val="24"/>
          <w:lang w:eastAsia="pl-PL"/>
        </w:rPr>
        <w:t>do roku 2032</w:t>
      </w:r>
      <w:r>
        <w:rPr>
          <w:rFonts w:eastAsia="Times New Roman" w:cs="Times New Roman" w:ascii="Times New Roman" w:hAnsi="Times New Roman"/>
          <w:sz w:val="24"/>
          <w:szCs w:val="24"/>
          <w:lang w:eastAsia="pl-PL"/>
        </w:rPr>
        <w:t xml:space="preserve">, co wpisuje się </w:t>
        <w:br/>
        <w:t>w krajowe i unijne zobowiązania dotyczące ochrony zdrowia ludzi oraz środowiska naturalnego.</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Środki w wysokości 25 tys. zł będą pochodziły z budżetu miasta na 2025 rok i zostaną przekazane w formie </w:t>
      </w:r>
      <w:r>
        <w:rPr>
          <w:rFonts w:eastAsia="Times New Roman" w:cs="Times New Roman" w:ascii="Times New Roman" w:hAnsi="Times New Roman"/>
          <w:b/>
          <w:bCs/>
          <w:sz w:val="24"/>
          <w:szCs w:val="24"/>
          <w:lang w:eastAsia="pl-PL"/>
        </w:rPr>
        <w:t>dotacji celowej</w:t>
      </w:r>
      <w:r>
        <w:rPr>
          <w:rFonts w:eastAsia="Times New Roman" w:cs="Times New Roman" w:ascii="Times New Roman" w:hAnsi="Times New Roman"/>
          <w:sz w:val="24"/>
          <w:szCs w:val="24"/>
          <w:lang w:eastAsia="pl-PL"/>
        </w:rPr>
        <w:t>. Dotacja ta umożliwi Powiatowi Poznańskiemu przeprowadzenie konkretnych działań takich jak:</w:t>
      </w:r>
    </w:p>
    <w:p>
      <w:pPr>
        <w:pStyle w:val="Normal"/>
        <w:numPr>
          <w:ilvl w:val="0"/>
          <w:numId w:val="7"/>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demontaż wyrobów zawierających azbest</w:t>
      </w:r>
      <w:r>
        <w:rPr>
          <w:rFonts w:eastAsia="Times New Roman" w:cs="Times New Roman" w:ascii="Times New Roman" w:hAnsi="Times New Roman"/>
          <w:sz w:val="24"/>
          <w:szCs w:val="24"/>
          <w:lang w:eastAsia="pl-PL"/>
        </w:rPr>
        <w:t xml:space="preserve"> z budynków mieszkalnych, gospodarczych i innych obiektów,</w:t>
      </w:r>
    </w:p>
    <w:p>
      <w:pPr>
        <w:pStyle w:val="Normal"/>
        <w:numPr>
          <w:ilvl w:val="0"/>
          <w:numId w:val="7"/>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odbiór i transport</w:t>
      </w:r>
      <w:r>
        <w:rPr>
          <w:rFonts w:eastAsia="Times New Roman" w:cs="Times New Roman" w:ascii="Times New Roman" w:hAnsi="Times New Roman"/>
          <w:sz w:val="24"/>
          <w:szCs w:val="24"/>
          <w:lang w:eastAsia="pl-PL"/>
        </w:rPr>
        <w:t xml:space="preserve"> niebezpiecznych odpadów z terenu nieruchomości,</w:t>
      </w:r>
    </w:p>
    <w:p>
      <w:pPr>
        <w:pStyle w:val="Normal"/>
        <w:numPr>
          <w:ilvl w:val="0"/>
          <w:numId w:val="7"/>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ich bezpieczne unieszkodliwienie</w:t>
      </w:r>
      <w:r>
        <w:rPr>
          <w:rFonts w:eastAsia="Times New Roman" w:cs="Times New Roman" w:ascii="Times New Roman" w:hAnsi="Times New Roman"/>
          <w:sz w:val="24"/>
          <w:szCs w:val="24"/>
          <w:lang w:eastAsia="pl-PL"/>
        </w:rPr>
        <w:t>, zgodnie z obowiązującymi przepisami ochrony środowiska.</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Podkreślono, że program ma charakter </w:t>
      </w:r>
      <w:r>
        <w:rPr>
          <w:rFonts w:eastAsia="Times New Roman" w:cs="Times New Roman" w:ascii="Times New Roman" w:hAnsi="Times New Roman"/>
          <w:b/>
          <w:bCs/>
          <w:sz w:val="24"/>
          <w:szCs w:val="24"/>
          <w:lang w:eastAsia="pl-PL"/>
        </w:rPr>
        <w:t>nieodpłatny</w:t>
      </w:r>
      <w:r>
        <w:rPr>
          <w:rFonts w:eastAsia="Times New Roman" w:cs="Times New Roman" w:ascii="Times New Roman" w:hAnsi="Times New Roman"/>
          <w:sz w:val="24"/>
          <w:szCs w:val="24"/>
          <w:lang w:eastAsia="pl-PL"/>
        </w:rPr>
        <w:t xml:space="preserve"> dla wnioskodawców (osób fizycznych, wspólnot i instytucji), co ma szczególne znaczenie w kontekście zwiększania świadomości ekologicznej mieszkańców i ułatwienia im pozbywania się szkodliwych materiałów, których samodzielna utylizacja byłaby kosztowna </w:t>
        <w:br/>
        <w:t>i skomplikowana.</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Zauważono również, że przyjęcie uchwały nie pociąga za sobą istotnych skutków społecznych, a stanowi ważny wkład w eliminację historycznych zagrożeń środowiskowych, które wciąż występują na terenie miasta i powiatu – szczególnie </w:t>
        <w:br/>
        <w:t>w starszym budownictwie, gdzie pokrycia dachowe z azbestu są jeszcze obecne.</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Nie zgłoszono żadnych pytań ani wątpliwości ze strony członków Komisji. Projekt uchwały został </w:t>
      </w:r>
      <w:r>
        <w:rPr>
          <w:rFonts w:eastAsia="Times New Roman" w:cs="Times New Roman" w:ascii="Times New Roman" w:hAnsi="Times New Roman"/>
          <w:b/>
          <w:bCs/>
          <w:sz w:val="24"/>
          <w:szCs w:val="24"/>
          <w:lang w:eastAsia="pl-PL"/>
        </w:rPr>
        <w:t>jednogłośnie</w:t>
      </w:r>
      <w:r>
        <w:rPr>
          <w:rFonts w:eastAsia="Times New Roman" w:cs="Times New Roman" w:ascii="Times New Roman" w:hAnsi="Times New Roman"/>
          <w:sz w:val="24"/>
          <w:szCs w:val="24"/>
          <w:lang w:eastAsia="pl-PL"/>
        </w:rPr>
        <w:t xml:space="preserve"> zaopiniowany pozytywnie – </w:t>
      </w:r>
      <w:r>
        <w:rPr>
          <w:rFonts w:eastAsia="Times New Roman" w:cs="Times New Roman" w:ascii="Times New Roman" w:hAnsi="Times New Roman"/>
          <w:b/>
          <w:bCs/>
          <w:sz w:val="24"/>
          <w:szCs w:val="24"/>
          <w:lang w:eastAsia="pl-PL"/>
        </w:rPr>
        <w:t>10 głosów „za”</w:t>
      </w:r>
      <w:r>
        <w:rPr>
          <w:rFonts w:eastAsia="Times New Roman" w:cs="Times New Roman" w:ascii="Times New Roman" w:hAnsi="Times New Roman"/>
          <w:sz w:val="24"/>
          <w:szCs w:val="24"/>
          <w:lang w:eastAsia="pl-PL"/>
        </w:rPr>
        <w:t>.</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9. Opiniowanie projektu uchwały w sprawie przeznaczenia umorzonej części pożyczki z Wojewódzkiego Funduszu Ochrony Środowiska i Gospodarki Wodnej w Poznaniu</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dziewiątym punkcie porządku obrad Komisji Budżetu i Finansów omówiono projekt uchwały Rady Miasta Luboń dotyczący przeznaczenia kwoty </w:t>
      </w:r>
      <w:r>
        <w:rPr>
          <w:rFonts w:eastAsia="Times New Roman" w:cs="Times New Roman" w:ascii="Times New Roman" w:hAnsi="Times New Roman"/>
          <w:b/>
          <w:bCs/>
          <w:sz w:val="24"/>
          <w:szCs w:val="24"/>
          <w:lang w:eastAsia="pl-PL"/>
        </w:rPr>
        <w:t>29 845,88 zł</w:t>
      </w:r>
      <w:r>
        <w:rPr>
          <w:rFonts w:eastAsia="Times New Roman" w:cs="Times New Roman" w:ascii="Times New Roman" w:hAnsi="Times New Roman"/>
          <w:sz w:val="24"/>
          <w:szCs w:val="24"/>
          <w:lang w:eastAsia="pl-PL"/>
        </w:rPr>
        <w:t xml:space="preserve"> pozostającej w dyspozycji miasta w wyniku </w:t>
      </w:r>
      <w:r>
        <w:rPr>
          <w:rFonts w:eastAsia="Times New Roman" w:cs="Times New Roman" w:ascii="Times New Roman" w:hAnsi="Times New Roman"/>
          <w:b/>
          <w:bCs/>
          <w:sz w:val="24"/>
          <w:szCs w:val="24"/>
          <w:lang w:eastAsia="pl-PL"/>
        </w:rPr>
        <w:t>umorzenia części pożyczki udzielonej w 2019 roku</w:t>
      </w:r>
      <w:r>
        <w:rPr>
          <w:rFonts w:eastAsia="Times New Roman" w:cs="Times New Roman" w:ascii="Times New Roman" w:hAnsi="Times New Roman"/>
          <w:sz w:val="24"/>
          <w:szCs w:val="24"/>
          <w:lang w:eastAsia="pl-PL"/>
        </w:rPr>
        <w:t xml:space="preserve"> przez Wojewódzki Fundusz Ochrony Środowiska i Gospodarki Wodnej w Poznaniu. Pożyczka ta została zaciągnięta na realizację inwestycji pn. </w:t>
      </w:r>
      <w:r>
        <w:rPr>
          <w:rFonts w:eastAsia="Times New Roman" w:cs="Times New Roman" w:ascii="Times New Roman" w:hAnsi="Times New Roman"/>
          <w:b/>
          <w:bCs/>
          <w:sz w:val="24"/>
          <w:szCs w:val="24"/>
          <w:lang w:eastAsia="pl-PL"/>
        </w:rPr>
        <w:t>„Termomodernizacja budynku mieszkalnego wielorodzinnego w Luboniu”</w:t>
      </w:r>
      <w:r>
        <w:rPr>
          <w:rFonts w:eastAsia="Times New Roman" w:cs="Times New Roman" w:ascii="Times New Roman" w:hAnsi="Times New Roman"/>
          <w:sz w:val="24"/>
          <w:szCs w:val="24"/>
          <w:lang w:eastAsia="pl-PL"/>
        </w:rPr>
        <w:t xml:space="preserve">, a umowa zawarta została </w:t>
        <w:br/>
        <w:t>w dniu 28 listopada 2019 r. (nr umowy: 2665/U/400/159/2019).</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Jak wskazano podczas posiedzenia, środki uzyskane z tytułu umorzenia zgodnie </w:t>
        <w:br/>
        <w:t xml:space="preserve">z zasadami rozliczeń z WFOŚiGW muszą być przeznaczone na inne działania z zakresu ochrony środowiska. W związku z tym zaproponowano przeznaczenie całej kwoty </w:t>
      </w:r>
      <w:r>
        <w:rPr>
          <w:rFonts w:eastAsia="Times New Roman" w:cs="Times New Roman" w:ascii="Times New Roman" w:hAnsi="Times New Roman"/>
          <w:b/>
          <w:bCs/>
          <w:sz w:val="24"/>
          <w:szCs w:val="24"/>
          <w:lang w:eastAsia="pl-PL"/>
        </w:rPr>
        <w:t>na realizację zadania inwestycyjnego pn. „Nasadzenia drzew przy Alei Jana Pawła II w Luboniu”</w:t>
      </w:r>
      <w:r>
        <w:rPr>
          <w:rFonts w:eastAsia="Times New Roman" w:cs="Times New Roman" w:ascii="Times New Roman" w:hAnsi="Times New Roman"/>
          <w:sz w:val="24"/>
          <w:szCs w:val="24"/>
          <w:lang w:eastAsia="pl-PL"/>
        </w:rPr>
        <w:t>. Działanie to ma na celu m.in. poprawę jakości powietrza, zwiększenie retencji wodnej i walorów estetycznych przestrzeni miejskiej.</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Przedstawiciele komisji przy tej okazji nawiązali do szerszego kontekstu związanego </w:t>
        <w:br/>
        <w:t xml:space="preserve">z tematyką ochrony środowiska, w tym do </w:t>
      </w:r>
      <w:r>
        <w:rPr>
          <w:rFonts w:eastAsia="Times New Roman" w:cs="Times New Roman" w:ascii="Times New Roman" w:hAnsi="Times New Roman"/>
          <w:b/>
          <w:bCs/>
          <w:sz w:val="24"/>
          <w:szCs w:val="24"/>
          <w:lang w:eastAsia="pl-PL"/>
        </w:rPr>
        <w:t>aktualnych informacji przekazanych przez Wojewódzki Fundusz Ochrony Środowiska</w:t>
      </w:r>
      <w:r>
        <w:rPr>
          <w:rFonts w:eastAsia="Times New Roman" w:cs="Times New Roman" w:ascii="Times New Roman" w:hAnsi="Times New Roman"/>
          <w:sz w:val="24"/>
          <w:szCs w:val="24"/>
          <w:lang w:eastAsia="pl-PL"/>
        </w:rPr>
        <w:t xml:space="preserve"> podczas szkoleń i spotkań. Podkreślono, że w związku z niskim tempem wymiany pokryć dachowych zawierających azbest, obecne szacunki wskazują, iż przy zachowaniu obecnego tempa jego usuwania całkowita eliminacja azbestu w Polsce potrwa jeszcze około </w:t>
      </w:r>
      <w:r>
        <w:rPr>
          <w:rFonts w:eastAsia="Times New Roman" w:cs="Times New Roman" w:ascii="Times New Roman" w:hAnsi="Times New Roman"/>
          <w:b/>
          <w:bCs/>
          <w:sz w:val="24"/>
          <w:szCs w:val="24"/>
          <w:lang w:eastAsia="pl-PL"/>
        </w:rPr>
        <w:t>70 lat</w:t>
      </w:r>
      <w:r>
        <w:rPr>
          <w:rFonts w:eastAsia="Times New Roman" w:cs="Times New Roman" w:ascii="Times New Roman" w:hAnsi="Times New Roman"/>
          <w:sz w:val="24"/>
          <w:szCs w:val="24"/>
          <w:lang w:eastAsia="pl-PL"/>
        </w:rPr>
        <w:t xml:space="preserve">, co oznacza, że </w:t>
      </w:r>
      <w:r>
        <w:rPr>
          <w:rFonts w:eastAsia="Times New Roman" w:cs="Times New Roman" w:ascii="Times New Roman" w:hAnsi="Times New Roman"/>
          <w:b/>
          <w:bCs/>
          <w:sz w:val="24"/>
          <w:szCs w:val="24"/>
          <w:lang w:eastAsia="pl-PL"/>
        </w:rPr>
        <w:t>termin przyjęty w Krajowym Programie Usuwania Azbestu – rok 2032 – nie zostanie dotrzymany</w:t>
      </w:r>
      <w:r>
        <w:rPr>
          <w:rFonts w:eastAsia="Times New Roman" w:cs="Times New Roman" w:ascii="Times New Roman" w:hAnsi="Times New Roman"/>
          <w:sz w:val="24"/>
          <w:szCs w:val="24"/>
          <w:lang w:eastAsia="pl-PL"/>
        </w:rPr>
        <w:t>.</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odpowiedzi na te problemy Fundusz zapowiada nowe </w:t>
      </w:r>
      <w:r>
        <w:rPr>
          <w:rFonts w:eastAsia="Times New Roman" w:cs="Times New Roman" w:ascii="Times New Roman" w:hAnsi="Times New Roman"/>
          <w:b/>
          <w:bCs/>
          <w:sz w:val="24"/>
          <w:szCs w:val="24"/>
          <w:lang w:eastAsia="pl-PL"/>
        </w:rPr>
        <w:t>instrumenty wsparcia dla mieszkańców</w:t>
      </w:r>
      <w:r>
        <w:rPr>
          <w:rFonts w:eastAsia="Times New Roman" w:cs="Times New Roman" w:ascii="Times New Roman" w:hAnsi="Times New Roman"/>
          <w:sz w:val="24"/>
          <w:szCs w:val="24"/>
          <w:lang w:eastAsia="pl-PL"/>
        </w:rPr>
        <w:t xml:space="preserve">, m.in. </w:t>
      </w:r>
      <w:r>
        <w:rPr>
          <w:rFonts w:eastAsia="Times New Roman" w:cs="Times New Roman" w:ascii="Times New Roman" w:hAnsi="Times New Roman"/>
          <w:b/>
          <w:bCs/>
          <w:sz w:val="24"/>
          <w:szCs w:val="24"/>
          <w:lang w:eastAsia="pl-PL"/>
        </w:rPr>
        <w:t>pożyczki na wymianę pokrycia dachowego z dopłatą do oprocentowania</w:t>
      </w:r>
      <w:r>
        <w:rPr>
          <w:rFonts w:eastAsia="Times New Roman" w:cs="Times New Roman" w:ascii="Times New Roman" w:hAnsi="Times New Roman"/>
          <w:sz w:val="24"/>
          <w:szCs w:val="24"/>
          <w:lang w:eastAsia="pl-PL"/>
        </w:rPr>
        <w:t xml:space="preserve">, co uczyniłoby je wyjątkowo korzystnymi finansowo. Ułatwi to dostęp do kompleksowej wymiany dachu osobom, które dotychczas nie decydowały się na demontaż wyrobów zawierających azbest, mimo że ich unieszkodliwienie realizowane jest bezpłatnie. Oprocentowanie tych pożyczek nie zostało jeszcze określone, ale zapowiedziano, że instrument ten może wejść w życie jeszcze w </w:t>
      </w:r>
      <w:r>
        <w:rPr>
          <w:rFonts w:eastAsia="Times New Roman" w:cs="Times New Roman" w:ascii="Times New Roman" w:hAnsi="Times New Roman"/>
          <w:b/>
          <w:bCs/>
          <w:sz w:val="24"/>
          <w:szCs w:val="24"/>
          <w:lang w:eastAsia="pl-PL"/>
        </w:rPr>
        <w:t>2025 roku</w:t>
      </w:r>
      <w:r>
        <w:rPr>
          <w:rFonts w:eastAsia="Times New Roman" w:cs="Times New Roman" w:ascii="Times New Roman" w:hAnsi="Times New Roman"/>
          <w:sz w:val="24"/>
          <w:szCs w:val="24"/>
          <w:lang w:eastAsia="pl-PL"/>
        </w:rPr>
        <w:t>.</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toku posiedzenia padły również pytania dotyczące </w:t>
      </w:r>
      <w:r>
        <w:rPr>
          <w:rFonts w:eastAsia="Times New Roman" w:cs="Times New Roman" w:ascii="Times New Roman" w:hAnsi="Times New Roman"/>
          <w:b/>
          <w:bCs/>
          <w:sz w:val="24"/>
          <w:szCs w:val="24"/>
          <w:lang w:eastAsia="pl-PL"/>
        </w:rPr>
        <w:t xml:space="preserve">skali problemu azbestu </w:t>
        <w:br/>
        <w:t>w Luboniu</w:t>
      </w:r>
      <w:r>
        <w:rPr>
          <w:rFonts w:eastAsia="Times New Roman" w:cs="Times New Roman" w:ascii="Times New Roman" w:hAnsi="Times New Roman"/>
          <w:sz w:val="24"/>
          <w:szCs w:val="24"/>
          <w:lang w:eastAsia="pl-PL"/>
        </w:rPr>
        <w:t xml:space="preserve">. Zgodnie z informacjami z rejestru, na terenie miasta </w:t>
      </w:r>
      <w:r>
        <w:rPr>
          <w:rFonts w:eastAsia="Times New Roman" w:cs="Times New Roman" w:ascii="Times New Roman" w:hAnsi="Times New Roman"/>
          <w:b/>
          <w:bCs/>
          <w:sz w:val="24"/>
          <w:szCs w:val="24"/>
          <w:lang w:eastAsia="pl-PL"/>
        </w:rPr>
        <w:t>znajduje się około 250 lokalizacji</w:t>
      </w:r>
      <w:r>
        <w:rPr>
          <w:rFonts w:eastAsia="Times New Roman" w:cs="Times New Roman" w:ascii="Times New Roman" w:hAnsi="Times New Roman"/>
          <w:sz w:val="24"/>
          <w:szCs w:val="24"/>
          <w:lang w:eastAsia="pl-PL"/>
        </w:rPr>
        <w:t>, w których wciąż obecne są materiały azbestowe – w tym nie tylko dachy budynków, ale również ogrodzenia czy inne elementy infrastruktury. Zaznaczono, że liczba ta od kilku lat pozostaje niezmienna, co wynika z faktu, iż nie wszystkie posesje zgłoszono do ewidencji.</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Radni nie zgłosili uwag do treści projektu uchwały. Głosowanie zakończyło się </w:t>
      </w:r>
      <w:r>
        <w:rPr>
          <w:rFonts w:eastAsia="Times New Roman" w:cs="Times New Roman" w:ascii="Times New Roman" w:hAnsi="Times New Roman"/>
          <w:b/>
          <w:bCs/>
          <w:sz w:val="24"/>
          <w:szCs w:val="24"/>
          <w:lang w:eastAsia="pl-PL"/>
        </w:rPr>
        <w:t>jednogłośnym poparciem projektu</w:t>
      </w:r>
      <w:r>
        <w:rPr>
          <w:rFonts w:eastAsia="Times New Roman" w:cs="Times New Roman" w:ascii="Times New Roman" w:hAnsi="Times New Roman"/>
          <w:sz w:val="24"/>
          <w:szCs w:val="24"/>
          <w:lang w:eastAsia="pl-PL"/>
        </w:rPr>
        <w:t xml:space="preserve"> – </w:t>
      </w:r>
      <w:r>
        <w:rPr>
          <w:rFonts w:eastAsia="Times New Roman" w:cs="Times New Roman" w:ascii="Times New Roman" w:hAnsi="Times New Roman"/>
          <w:b/>
          <w:bCs/>
          <w:sz w:val="24"/>
          <w:szCs w:val="24"/>
          <w:lang w:eastAsia="pl-PL"/>
        </w:rPr>
        <w:t>10 głosów „za”</w:t>
      </w:r>
      <w:r>
        <w:rPr>
          <w:rFonts w:eastAsia="Times New Roman" w:cs="Times New Roman" w:ascii="Times New Roman" w:hAnsi="Times New Roman"/>
          <w:sz w:val="24"/>
          <w:szCs w:val="24"/>
          <w:lang w:eastAsia="pl-PL"/>
        </w:rPr>
        <w:t>.</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10. Opiniowanie projektu uchwały w sprawie przyjęcia „Programu opieki nad zwierzętami bezdomnymi oraz zapobiegania bezdomności zwierząt na terenie Miasta Luboń na rok 2025”</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dziesiątym punkcie porządku obrad Komisji Budżetu i Finansów rozpatrzono corocznie przyjmowany projekt uchwały dotyczący programu opieki nad zwierzętami bezdomnymi oraz zapobiegania ich bezdomności na terenie Miasta Luboń na rok 2025. Przewodnicząca komisji poinformowała, że dokument ten uchwalany jest każdego roku w oparciu o art. 11a ustawy o ochronie zwierząt, a jego przyjęcie poprzedzone zostało zasięgnięciem opinii Powiatowego Lekarza Weterynarii w Poznaniu, Fundacji Ochrony Zwierząt Animal Security oraz Koła Łowieckiego nr 78 „Łoś”.</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2025 roku na realizację programu zaplanowano </w:t>
      </w:r>
      <w:r>
        <w:rPr>
          <w:rFonts w:eastAsia="Times New Roman" w:cs="Times New Roman" w:ascii="Times New Roman" w:hAnsi="Times New Roman"/>
          <w:b/>
          <w:bCs/>
          <w:sz w:val="24"/>
          <w:szCs w:val="24"/>
          <w:lang w:eastAsia="pl-PL"/>
        </w:rPr>
        <w:t>łączne środki w wysokości 192 530 zł</w:t>
      </w:r>
      <w:r>
        <w:rPr>
          <w:rFonts w:eastAsia="Times New Roman" w:cs="Times New Roman" w:ascii="Times New Roman" w:hAnsi="Times New Roman"/>
          <w:sz w:val="24"/>
          <w:szCs w:val="24"/>
          <w:lang w:eastAsia="pl-PL"/>
        </w:rPr>
        <w:t>, pochodzące w całości z budżetu Miasta Luboń. Środki te zostały szczegółowo rozdysponowane na 11 zadań, w tym m.in.:</w:t>
      </w:r>
    </w:p>
    <w:p>
      <w:pPr>
        <w:pStyle w:val="Normal"/>
        <w:numPr>
          <w:ilvl w:val="0"/>
          <w:numId w:val="8"/>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87 380 zł – zapewnienie miejsca dla bezdomnych zwierząt w Schronisku </w:t>
        <w:br/>
        <w:t>w Poznaniu,</w:t>
      </w:r>
    </w:p>
    <w:p>
      <w:pPr>
        <w:pStyle w:val="Normal"/>
        <w:numPr>
          <w:ilvl w:val="0"/>
          <w:numId w:val="8"/>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20 000 zł – sterylizacja i kastracja kotów wolno żyjących,</w:t>
      </w:r>
    </w:p>
    <w:p>
      <w:pPr>
        <w:pStyle w:val="Normal"/>
        <w:numPr>
          <w:ilvl w:val="0"/>
          <w:numId w:val="8"/>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19 000 zł – odławianie i transport bezdomnych zwierząt,</w:t>
      </w:r>
    </w:p>
    <w:p>
      <w:pPr>
        <w:pStyle w:val="Normal"/>
        <w:numPr>
          <w:ilvl w:val="0"/>
          <w:numId w:val="8"/>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6 400 zł – leczenie kotów wolno żyjących,</w:t>
      </w:r>
    </w:p>
    <w:p>
      <w:pPr>
        <w:pStyle w:val="Normal"/>
        <w:numPr>
          <w:ilvl w:val="0"/>
          <w:numId w:val="8"/>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2 000 zł – dokarmianie kotów wolno żyjących,</w:t>
      </w:r>
    </w:p>
    <w:p>
      <w:pPr>
        <w:pStyle w:val="Normal"/>
        <w:numPr>
          <w:ilvl w:val="0"/>
          <w:numId w:val="8"/>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39 600 zł – całodobowa opieka weterynaryjna w nagłych przypadkach (w tym wypadki drogowe),</w:t>
      </w:r>
    </w:p>
    <w:p>
      <w:pPr>
        <w:pStyle w:val="Normal"/>
        <w:numPr>
          <w:ilvl w:val="0"/>
          <w:numId w:val="8"/>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7 600 zł – sterylizacja i kastracja zwierząt przebywających w schronisku,</w:t>
      </w:r>
    </w:p>
    <w:p>
      <w:pPr>
        <w:pStyle w:val="Normal"/>
        <w:numPr>
          <w:ilvl w:val="0"/>
          <w:numId w:val="8"/>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pozostałe środki przeznaczono m.in. na znakowanie psów, usypianie ślepych miotów oraz działania informacyjne i adopcyjne.</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Zgodnie z zapisami programu, bezdomne psy i koty z terenu miasta będą nadal kierowane do </w:t>
      </w:r>
      <w:r>
        <w:rPr>
          <w:rFonts w:eastAsia="Times New Roman" w:cs="Times New Roman" w:ascii="Times New Roman" w:hAnsi="Times New Roman"/>
          <w:b/>
          <w:bCs/>
          <w:sz w:val="24"/>
          <w:szCs w:val="24"/>
          <w:lang w:eastAsia="pl-PL"/>
        </w:rPr>
        <w:t>Schroniska dla Zwierząt przy ul. Kobylepole 51 w Poznaniu</w:t>
      </w:r>
      <w:r>
        <w:rPr>
          <w:rFonts w:eastAsia="Times New Roman" w:cs="Times New Roman" w:ascii="Times New Roman" w:hAnsi="Times New Roman"/>
          <w:sz w:val="24"/>
          <w:szCs w:val="24"/>
          <w:lang w:eastAsia="pl-PL"/>
        </w:rPr>
        <w:t>, z którym Miasto Luboń posiada zawarte porozumienie międzygminne. Zwierzęta gospodarskie, w przypadku ich bezdomności, mają trafiać do wskazanego gospodarstwa rolnego przy ul. Niżańskiej 1J.</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Istotnym elementem programu jest również opieka nad </w:t>
      </w:r>
      <w:r>
        <w:rPr>
          <w:rFonts w:eastAsia="Times New Roman" w:cs="Times New Roman" w:ascii="Times New Roman" w:hAnsi="Times New Roman"/>
          <w:b/>
          <w:bCs/>
          <w:sz w:val="24"/>
          <w:szCs w:val="24"/>
          <w:lang w:eastAsia="pl-PL"/>
        </w:rPr>
        <w:t>kotami wolno żyjącymi</w:t>
      </w:r>
      <w:r>
        <w:rPr>
          <w:rFonts w:eastAsia="Times New Roman" w:cs="Times New Roman" w:ascii="Times New Roman" w:hAnsi="Times New Roman"/>
          <w:sz w:val="24"/>
          <w:szCs w:val="24"/>
          <w:lang w:eastAsia="pl-PL"/>
        </w:rPr>
        <w:t>, która obejmuje ich dokarmianie (we współpracy z Fundacją Ochrony Zwierząt i społecznymi opiekunami), sterylizację, leczenie oraz przewóz do schroniska w przypadku zagrożenia życia. W razie nagłych zdarzeń, np. wypadków komunikacyjnych, pomoc zapewnia gabinet weterynaryjny D. Filipińskiego w Poznaniu, z którym Miasto Luboń ma zawartą odrębną umowę.</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Program zakłada również działania edukacyjne i promocyjne, mające na celu podnoszenie świadomości mieszkańców w zakresie odpowiedzialnej opieki nad zwierzętami, sterylizacji i kastracji oraz adopcji zwierząt bezdomnych. Zgodnie </w:t>
        <w:br/>
        <w:t xml:space="preserve">z zapisami, Miasto Luboń nadal będzie prowadzić </w:t>
      </w:r>
      <w:r>
        <w:rPr>
          <w:rFonts w:eastAsia="Times New Roman" w:cs="Times New Roman" w:ascii="Times New Roman" w:hAnsi="Times New Roman"/>
          <w:b/>
          <w:bCs/>
          <w:sz w:val="24"/>
          <w:szCs w:val="24"/>
          <w:lang w:eastAsia="pl-PL"/>
        </w:rPr>
        <w:t>galerię zwierząt przeznaczonych do adopcji</w:t>
      </w:r>
      <w:r>
        <w:rPr>
          <w:rFonts w:eastAsia="Times New Roman" w:cs="Times New Roman" w:ascii="Times New Roman" w:hAnsi="Times New Roman"/>
          <w:sz w:val="24"/>
          <w:szCs w:val="24"/>
          <w:lang w:eastAsia="pl-PL"/>
        </w:rPr>
        <w:t xml:space="preserve"> na swojej stronie internetowej, a dane będą pozyskiwane od Schroniska </w:t>
        <w:br/>
        <w:t>w Poznaniu.</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toku dyskusji członkowie komisji nie zgłosili uwag do projektu. Potwierdzono, </w:t>
        <w:br/>
        <w:t>że program obejmuje pełne spektrum działań wymaganych przez ustawę o ochronie zwierząt i zawiera precyzyjnie określone środki finansowe na każde z zadań.</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głosowaniu projekt uchwały uzyskał </w:t>
      </w:r>
      <w:r>
        <w:rPr>
          <w:rFonts w:eastAsia="Times New Roman" w:cs="Times New Roman" w:ascii="Times New Roman" w:hAnsi="Times New Roman"/>
          <w:b/>
          <w:bCs/>
          <w:sz w:val="24"/>
          <w:szCs w:val="24"/>
          <w:lang w:eastAsia="pl-PL"/>
        </w:rPr>
        <w:t>jednogłośne poparcie</w:t>
      </w:r>
      <w:r>
        <w:rPr>
          <w:rFonts w:eastAsia="Times New Roman" w:cs="Times New Roman" w:ascii="Times New Roman" w:hAnsi="Times New Roman"/>
          <w:sz w:val="24"/>
          <w:szCs w:val="24"/>
          <w:lang w:eastAsia="pl-PL"/>
        </w:rPr>
        <w:t xml:space="preserve"> wszystkich obecnych członków komisji – </w:t>
      </w:r>
      <w:r>
        <w:rPr>
          <w:rFonts w:eastAsia="Times New Roman" w:cs="Times New Roman" w:ascii="Times New Roman" w:hAnsi="Times New Roman"/>
          <w:b/>
          <w:bCs/>
          <w:sz w:val="24"/>
          <w:szCs w:val="24"/>
          <w:lang w:eastAsia="pl-PL"/>
        </w:rPr>
        <w:t>10 głosów „za”</w:t>
      </w:r>
      <w:r>
        <w:rPr>
          <w:rFonts w:eastAsia="Times New Roman" w:cs="Times New Roman" w:ascii="Times New Roman" w:hAnsi="Times New Roman"/>
          <w:sz w:val="24"/>
          <w:szCs w:val="24"/>
          <w:lang w:eastAsia="pl-PL"/>
        </w:rPr>
        <w:t>.</w:t>
      </w:r>
    </w:p>
    <w:p>
      <w:pPr>
        <w:pStyle w:val="Normal"/>
        <w:spacing w:beforeAutospacing="1" w:afterAutospacing="1"/>
        <w:ind w:left="708" w:hanging="0"/>
        <w:jc w:val="both"/>
        <w:rPr>
          <w:rStyle w:val="Strong"/>
          <w:rFonts w:ascii="Times New Roman" w:hAnsi="Times New Roman" w:cs="Times New Roman"/>
          <w:sz w:val="24"/>
          <w:szCs w:val="24"/>
          <w:u w:val="single"/>
        </w:rPr>
      </w:pPr>
      <w:r>
        <w:rPr>
          <w:rFonts w:cs="Times New Roman" w:ascii="Times New Roman" w:hAnsi="Times New Roman"/>
          <w:sz w:val="24"/>
          <w:szCs w:val="24"/>
          <w:u w:val="single"/>
        </w:rPr>
      </w:r>
    </w:p>
    <w:p>
      <w:pPr>
        <w:pStyle w:val="Normal"/>
        <w:spacing w:beforeAutospacing="1" w:afterAutospacing="1"/>
        <w:ind w:left="708" w:hanging="0"/>
        <w:jc w:val="both"/>
        <w:rPr>
          <w:rFonts w:ascii="Times New Roman" w:hAnsi="Times New Roman" w:cs="Times New Roman"/>
          <w:sz w:val="24"/>
          <w:szCs w:val="24"/>
          <w:u w:val="single"/>
        </w:rPr>
      </w:pPr>
      <w:r>
        <w:rPr>
          <w:rStyle w:val="Strong"/>
          <w:rFonts w:cs="Times New Roman" w:ascii="Times New Roman" w:hAnsi="Times New Roman"/>
          <w:sz w:val="24"/>
          <w:szCs w:val="24"/>
          <w:u w:val="single"/>
        </w:rPr>
        <w:t>11. Opiniowanie projektu uchwały w sprawie zmiany uchwały budżetowej Miasta Luboń na rok 2025</w:t>
      </w:r>
    </w:p>
    <w:p>
      <w:pPr>
        <w:pStyle w:val="Normal"/>
        <w:spacing w:beforeAutospacing="1" w:afterAutospacing="1"/>
        <w:ind w:left="708" w:hanging="0"/>
        <w:jc w:val="both"/>
        <w:rPr>
          <w:rFonts w:ascii="Times New Roman" w:hAnsi="Times New Roman" w:cs="Times New Roman"/>
          <w:sz w:val="24"/>
          <w:szCs w:val="24"/>
        </w:rPr>
      </w:pPr>
      <w:r>
        <w:rPr>
          <w:rFonts w:cs="Times New Roman" w:ascii="Times New Roman" w:hAnsi="Times New Roman"/>
          <w:sz w:val="24"/>
          <w:szCs w:val="24"/>
        </w:rPr>
        <w:t xml:space="preserve">W kolejnym punkcie posiedzenia Komisji Budżetu i Finansów przystąpiono do omówienia oraz zaopiniowania projektu uchwały dotyczącej zmian w uchwale budżetowej na 2025 rok. Referujący projekt Skarbnik Miasta Luboń, Pan Mirosław Stromczyński, przedstawił szczegółowo zakres proponowanych zmian zarówno po stronie dochodów, jak i wydatków, wskazując również korekty w zakresie rozchodów </w:t>
        <w:br/>
        <w:t>i przychodów.</w:t>
      </w:r>
    </w:p>
    <w:p>
      <w:pPr>
        <w:pStyle w:val="Nagwek3"/>
        <w:spacing w:before="280" w:after="280"/>
        <w:ind w:firstLine="708"/>
        <w:jc w:val="both"/>
        <w:rPr>
          <w:sz w:val="24"/>
          <w:szCs w:val="24"/>
        </w:rPr>
      </w:pPr>
      <w:r>
        <w:rPr>
          <w:sz w:val="24"/>
          <w:szCs w:val="24"/>
        </w:rPr>
        <w:t>Dochody</w:t>
      </w:r>
    </w:p>
    <w:p>
      <w:pPr>
        <w:pStyle w:val="Normal"/>
        <w:spacing w:beforeAutospacing="1" w:afterAutospacing="1"/>
        <w:ind w:left="708" w:hanging="0"/>
        <w:jc w:val="both"/>
        <w:rPr>
          <w:rFonts w:ascii="Times New Roman" w:hAnsi="Times New Roman" w:cs="Times New Roman"/>
          <w:sz w:val="24"/>
          <w:szCs w:val="24"/>
        </w:rPr>
      </w:pPr>
      <w:r>
        <w:rPr>
          <w:rFonts w:cs="Times New Roman" w:ascii="Times New Roman" w:hAnsi="Times New Roman"/>
          <w:sz w:val="24"/>
          <w:szCs w:val="24"/>
        </w:rPr>
        <w:t xml:space="preserve">Na wstępie Skarbnik poinformował, że łączna kwota dochodów ulega zwiększeniu </w:t>
        <w:br/>
        <w:t xml:space="preserve">o </w:t>
      </w:r>
      <w:r>
        <w:rPr>
          <w:rStyle w:val="Strong"/>
          <w:rFonts w:cs="Times New Roman" w:ascii="Times New Roman" w:hAnsi="Times New Roman"/>
          <w:sz w:val="24"/>
          <w:szCs w:val="24"/>
        </w:rPr>
        <w:t>521 276,15 zł</w:t>
      </w:r>
      <w:r>
        <w:rPr>
          <w:rFonts w:cs="Times New Roman" w:ascii="Times New Roman" w:hAnsi="Times New Roman"/>
          <w:sz w:val="24"/>
          <w:szCs w:val="24"/>
        </w:rPr>
        <w:t xml:space="preserve">, co po zmianie daje </w:t>
      </w:r>
      <w:r>
        <w:rPr>
          <w:rStyle w:val="Strong"/>
          <w:rFonts w:cs="Times New Roman" w:ascii="Times New Roman" w:hAnsi="Times New Roman"/>
          <w:sz w:val="24"/>
          <w:szCs w:val="24"/>
        </w:rPr>
        <w:t>łączną kwotę dochodów ogółem w wysokości 216 056 183,47 zł</w:t>
      </w:r>
      <w:r>
        <w:rPr>
          <w:rFonts w:cs="Times New Roman" w:ascii="Times New Roman" w:hAnsi="Times New Roman"/>
          <w:sz w:val="24"/>
          <w:szCs w:val="24"/>
        </w:rPr>
        <w:t>. Zmiany te obejmują m.in.:</w:t>
      </w:r>
    </w:p>
    <w:p>
      <w:pPr>
        <w:pStyle w:val="Normal"/>
        <w:numPr>
          <w:ilvl w:val="0"/>
          <w:numId w:val="9"/>
        </w:numPr>
        <w:spacing w:lineRule="auto" w:line="240" w:beforeAutospacing="1" w:after="0"/>
        <w:jc w:val="both"/>
        <w:rPr>
          <w:rFonts w:ascii="Times New Roman" w:hAnsi="Times New Roman" w:cs="Times New Roman"/>
          <w:sz w:val="24"/>
          <w:szCs w:val="24"/>
        </w:rPr>
      </w:pPr>
      <w:r>
        <w:rPr>
          <w:rStyle w:val="Strong"/>
          <w:rFonts w:cs="Times New Roman" w:ascii="Times New Roman" w:hAnsi="Times New Roman"/>
          <w:sz w:val="24"/>
          <w:szCs w:val="24"/>
        </w:rPr>
        <w:t>Transport i łączność</w:t>
      </w:r>
      <w:r>
        <w:rPr>
          <w:rFonts w:cs="Times New Roman" w:ascii="Times New Roman" w:hAnsi="Times New Roman"/>
          <w:sz w:val="24"/>
          <w:szCs w:val="24"/>
        </w:rPr>
        <w:t xml:space="preserve"> – zmniejszenie dochodów o </w:t>
      </w:r>
      <w:r>
        <w:rPr>
          <w:rStyle w:val="Strong"/>
          <w:rFonts w:cs="Times New Roman" w:ascii="Times New Roman" w:hAnsi="Times New Roman"/>
          <w:sz w:val="24"/>
          <w:szCs w:val="24"/>
        </w:rPr>
        <w:t>21 000 zł</w:t>
      </w:r>
      <w:r>
        <w:rPr>
          <w:rFonts w:cs="Times New Roman" w:ascii="Times New Roman" w:hAnsi="Times New Roman"/>
          <w:sz w:val="24"/>
          <w:szCs w:val="24"/>
        </w:rPr>
        <w:t xml:space="preserve"> w związku z korektą dotacji na budowę ulicy Buczka i odcinka ulicy Morelowej. Powodem jest konieczność rozliczenia kar umownych, co wpływa również na odpowiednie zmniejszenie wydatków w tym zakresie.</w:t>
      </w:r>
    </w:p>
    <w:p>
      <w:pPr>
        <w:pStyle w:val="Normal"/>
        <w:numPr>
          <w:ilvl w:val="0"/>
          <w:numId w:val="9"/>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Dotacja z Krajowego Biura Wyborczego</w:t>
      </w:r>
      <w:r>
        <w:rPr>
          <w:rFonts w:cs="Times New Roman" w:ascii="Times New Roman" w:hAnsi="Times New Roman"/>
          <w:sz w:val="24"/>
          <w:szCs w:val="24"/>
        </w:rPr>
        <w:t xml:space="preserve"> – wprowadzenie kwoty </w:t>
      </w:r>
      <w:r>
        <w:rPr>
          <w:rStyle w:val="Strong"/>
          <w:rFonts w:cs="Times New Roman" w:ascii="Times New Roman" w:hAnsi="Times New Roman"/>
          <w:sz w:val="24"/>
          <w:szCs w:val="24"/>
        </w:rPr>
        <w:t>46 894 zł</w:t>
      </w:r>
      <w:r>
        <w:rPr>
          <w:rFonts w:cs="Times New Roman" w:ascii="Times New Roman" w:hAnsi="Times New Roman"/>
          <w:sz w:val="24"/>
          <w:szCs w:val="24"/>
        </w:rPr>
        <w:t xml:space="preserve"> </w:t>
        <w:br/>
        <w:t>z przeznaczeniem na organizację wyborów Prezydenta RP.</w:t>
      </w:r>
    </w:p>
    <w:p>
      <w:pPr>
        <w:pStyle w:val="Normal"/>
        <w:numPr>
          <w:ilvl w:val="0"/>
          <w:numId w:val="9"/>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Oświata i wychowanie</w:t>
      </w:r>
      <w:r>
        <w:rPr>
          <w:rFonts w:cs="Times New Roman" w:ascii="Times New Roman" w:hAnsi="Times New Roman"/>
          <w:sz w:val="24"/>
          <w:szCs w:val="24"/>
        </w:rPr>
        <w:t xml:space="preserve"> – ujęcie środków pochodzących ze zwrotów dotacji z lat ubiegłych.</w:t>
      </w:r>
    </w:p>
    <w:p>
      <w:pPr>
        <w:pStyle w:val="Normal"/>
        <w:numPr>
          <w:ilvl w:val="0"/>
          <w:numId w:val="9"/>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Pomoc społeczna</w:t>
      </w:r>
      <w:r>
        <w:rPr>
          <w:rFonts w:cs="Times New Roman" w:ascii="Times New Roman" w:hAnsi="Times New Roman"/>
          <w:sz w:val="24"/>
          <w:szCs w:val="24"/>
        </w:rPr>
        <w:t>:</w:t>
      </w:r>
    </w:p>
    <w:p>
      <w:pPr>
        <w:pStyle w:val="Normal"/>
        <w:numPr>
          <w:ilvl w:val="1"/>
          <w:numId w:val="9"/>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środki z Funduszu Pomocy na działania pomocowe dla obywateli Ukrainy,</w:t>
      </w:r>
    </w:p>
    <w:p>
      <w:pPr>
        <w:pStyle w:val="Normal"/>
        <w:numPr>
          <w:ilvl w:val="1"/>
          <w:numId w:val="9"/>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618 zł</w:t>
      </w:r>
      <w:r>
        <w:rPr>
          <w:rFonts w:cs="Times New Roman" w:ascii="Times New Roman" w:hAnsi="Times New Roman"/>
          <w:sz w:val="24"/>
          <w:szCs w:val="24"/>
        </w:rPr>
        <w:t xml:space="preserve"> z dotacji Wojewody Wielkopolskiego na zasiłki i dodatki mieszkaniowe,</w:t>
      </w:r>
    </w:p>
    <w:p>
      <w:pPr>
        <w:pStyle w:val="Normal"/>
        <w:numPr>
          <w:ilvl w:val="1"/>
          <w:numId w:val="9"/>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2 500 zł</w:t>
      </w:r>
      <w:r>
        <w:rPr>
          <w:rFonts w:cs="Times New Roman" w:ascii="Times New Roman" w:hAnsi="Times New Roman"/>
          <w:sz w:val="24"/>
          <w:szCs w:val="24"/>
        </w:rPr>
        <w:t xml:space="preserve"> jako wpływy ze zwrotów zasiłków udzielonych w latach ubiegłych przez beneficjentów.</w:t>
      </w:r>
    </w:p>
    <w:p>
      <w:pPr>
        <w:pStyle w:val="Normal"/>
        <w:numPr>
          <w:ilvl w:val="0"/>
          <w:numId w:val="9"/>
        </w:numPr>
        <w:spacing w:lineRule="auto" w:line="240" w:before="0" w:afterAutospacing="1"/>
        <w:jc w:val="both"/>
        <w:rPr>
          <w:rFonts w:ascii="Times New Roman" w:hAnsi="Times New Roman" w:cs="Times New Roman"/>
          <w:sz w:val="24"/>
          <w:szCs w:val="24"/>
        </w:rPr>
      </w:pPr>
      <w:r>
        <w:rPr>
          <w:rStyle w:val="Strong"/>
          <w:rFonts w:cs="Times New Roman" w:ascii="Times New Roman" w:hAnsi="Times New Roman"/>
          <w:sz w:val="24"/>
          <w:szCs w:val="24"/>
        </w:rPr>
        <w:t>Gospodarka komunalna i ochrona środowiska (dział 900)</w:t>
      </w:r>
      <w:r>
        <w:rPr>
          <w:rFonts w:cs="Times New Roman" w:ascii="Times New Roman" w:hAnsi="Times New Roman"/>
          <w:sz w:val="24"/>
          <w:szCs w:val="24"/>
        </w:rPr>
        <w:t>:</w:t>
      </w:r>
    </w:p>
    <w:p>
      <w:pPr>
        <w:pStyle w:val="Normal"/>
        <w:spacing w:lineRule="auto" w:line="240" w:beforeAutospacing="1" w:afterAutospacing="1"/>
        <w:ind w:left="708" w:firstLine="360"/>
        <w:jc w:val="both"/>
        <w:rPr>
          <w:rStyle w:val="Strong"/>
          <w:rFonts w:ascii="Times New Roman" w:hAnsi="Times New Roman" w:cs="Times New Roman"/>
          <w:sz w:val="24"/>
          <w:szCs w:val="24"/>
        </w:rPr>
      </w:pPr>
      <w:r>
        <w:rPr>
          <w:rStyle w:val="Strong"/>
          <w:rFonts w:cs="Times New Roman" w:ascii="Times New Roman" w:hAnsi="Times New Roman"/>
          <w:b w:val="false"/>
          <w:bCs w:val="false"/>
          <w:sz w:val="24"/>
          <w:szCs w:val="24"/>
        </w:rPr>
        <w:t>a) Modernizacja oświetlenia ulicznego</w:t>
      </w:r>
    </w:p>
    <w:p>
      <w:pPr>
        <w:pStyle w:val="Normal"/>
        <w:numPr>
          <w:ilvl w:val="0"/>
          <w:numId w:val="12"/>
        </w:numPr>
        <w:spacing w:lineRule="auto" w:line="240"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Refundacja wydatków z rządowego programu </w:t>
      </w:r>
      <w:r>
        <w:rPr>
          <w:rFonts w:eastAsia="Times New Roman" w:cs="Times New Roman" w:ascii="Times New Roman" w:hAnsi="Times New Roman"/>
          <w:b/>
          <w:bCs/>
          <w:sz w:val="24"/>
          <w:szCs w:val="24"/>
          <w:lang w:eastAsia="pl-PL"/>
        </w:rPr>
        <w:t>Polski Ład</w:t>
      </w:r>
      <w:r>
        <w:rPr>
          <w:rFonts w:eastAsia="Times New Roman" w:cs="Times New Roman" w:ascii="Times New Roman" w:hAnsi="Times New Roman"/>
          <w:sz w:val="24"/>
          <w:szCs w:val="24"/>
          <w:lang w:eastAsia="pl-PL"/>
        </w:rPr>
        <w:t xml:space="preserve"> w wysokości </w:t>
      </w:r>
      <w:r>
        <w:rPr>
          <w:rFonts w:eastAsia="Times New Roman" w:cs="Times New Roman" w:ascii="Times New Roman" w:hAnsi="Times New Roman"/>
          <w:b/>
          <w:bCs/>
          <w:sz w:val="24"/>
          <w:szCs w:val="24"/>
          <w:lang w:eastAsia="pl-PL"/>
        </w:rPr>
        <w:t>196 701,38 zł</w:t>
      </w:r>
      <w:r>
        <w:rPr>
          <w:rFonts w:eastAsia="Times New Roman" w:cs="Times New Roman" w:ascii="Times New Roman" w:hAnsi="Times New Roman"/>
          <w:sz w:val="24"/>
          <w:szCs w:val="24"/>
          <w:lang w:eastAsia="pl-PL"/>
        </w:rPr>
        <w:t xml:space="preserve"> – środki te stanowią zwrot za zakończoną modernizację infrastruktury oświetleniowej.</w:t>
      </w:r>
    </w:p>
    <w:p>
      <w:pPr>
        <w:pStyle w:val="Normal"/>
        <w:spacing w:lineRule="auto" w:line="240" w:beforeAutospacing="1" w:afterAutospacing="1"/>
        <w:ind w:left="708" w:firstLine="360"/>
        <w:jc w:val="both"/>
        <w:rPr>
          <w:rStyle w:val="Strong"/>
          <w:rFonts w:ascii="Times New Roman" w:hAnsi="Times New Roman" w:cs="Times New Roman"/>
          <w:b w:val="false"/>
          <w:sz w:val="24"/>
          <w:szCs w:val="24"/>
        </w:rPr>
      </w:pPr>
      <w:r>
        <w:rPr>
          <w:rStyle w:val="Strong"/>
          <w:rFonts w:cs="Times New Roman" w:ascii="Times New Roman" w:hAnsi="Times New Roman"/>
          <w:b w:val="false"/>
          <w:sz w:val="24"/>
          <w:szCs w:val="24"/>
        </w:rPr>
        <w:t>b) PSZOK i stacja przeładunkowa</w:t>
      </w:r>
    </w:p>
    <w:p>
      <w:pPr>
        <w:pStyle w:val="Normal"/>
        <w:numPr>
          <w:ilvl w:val="0"/>
          <w:numId w:val="13"/>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Skarbnik poinformował, że do budżetu miasta wprowadzono refundację wydatków poniesionych na budowę </w:t>
      </w:r>
      <w:r>
        <w:rPr>
          <w:rFonts w:eastAsia="Times New Roman" w:cs="Times New Roman" w:ascii="Times New Roman" w:hAnsi="Times New Roman"/>
          <w:b/>
          <w:bCs/>
          <w:sz w:val="24"/>
          <w:szCs w:val="24"/>
          <w:lang w:eastAsia="pl-PL"/>
        </w:rPr>
        <w:t>Punktu Selektywnej Zbiórki Odpadów Komunalnych (PSZOK)</w:t>
      </w:r>
      <w:r>
        <w:rPr>
          <w:rFonts w:eastAsia="Times New Roman" w:cs="Times New Roman" w:ascii="Times New Roman" w:hAnsi="Times New Roman"/>
          <w:sz w:val="24"/>
          <w:szCs w:val="24"/>
          <w:lang w:eastAsia="pl-PL"/>
        </w:rPr>
        <w:t xml:space="preserve"> oraz </w:t>
      </w:r>
      <w:r>
        <w:rPr>
          <w:rFonts w:eastAsia="Times New Roman" w:cs="Times New Roman" w:ascii="Times New Roman" w:hAnsi="Times New Roman"/>
          <w:b/>
          <w:bCs/>
          <w:sz w:val="24"/>
          <w:szCs w:val="24"/>
          <w:lang w:eastAsia="pl-PL"/>
        </w:rPr>
        <w:t>stacji przeładunkowej</w:t>
      </w:r>
      <w:r>
        <w:rPr>
          <w:rFonts w:eastAsia="Times New Roman" w:cs="Times New Roman" w:ascii="Times New Roman" w:hAnsi="Times New Roman"/>
          <w:sz w:val="24"/>
          <w:szCs w:val="24"/>
          <w:lang w:eastAsia="pl-PL"/>
        </w:rPr>
        <w:t xml:space="preserve"> w łącznej wysokości </w:t>
      </w:r>
      <w:r>
        <w:rPr>
          <w:rFonts w:eastAsia="Times New Roman" w:cs="Times New Roman" w:ascii="Times New Roman" w:hAnsi="Times New Roman"/>
          <w:b/>
          <w:bCs/>
          <w:sz w:val="24"/>
          <w:szCs w:val="24"/>
          <w:lang w:eastAsia="pl-PL"/>
        </w:rPr>
        <w:t>279 970 zł</w:t>
      </w:r>
      <w:r>
        <w:rPr>
          <w:rFonts w:eastAsia="Times New Roman" w:cs="Times New Roman" w:ascii="Times New Roman" w:hAnsi="Times New Roman"/>
          <w:sz w:val="24"/>
          <w:szCs w:val="24"/>
          <w:lang w:eastAsia="pl-PL"/>
        </w:rPr>
        <w:t>, w tym:</w:t>
      </w:r>
    </w:p>
    <w:p>
      <w:pPr>
        <w:pStyle w:val="Normal"/>
        <w:numPr>
          <w:ilvl w:val="1"/>
          <w:numId w:val="13"/>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44 970 zł</w:t>
      </w:r>
      <w:r>
        <w:rPr>
          <w:rFonts w:eastAsia="Times New Roman" w:cs="Times New Roman" w:ascii="Times New Roman" w:hAnsi="Times New Roman"/>
          <w:sz w:val="24"/>
          <w:szCs w:val="24"/>
          <w:lang w:eastAsia="pl-PL"/>
        </w:rPr>
        <w:t xml:space="preserve"> jako </w:t>
      </w:r>
      <w:r>
        <w:rPr>
          <w:rFonts w:eastAsia="Times New Roman" w:cs="Times New Roman" w:ascii="Times New Roman" w:hAnsi="Times New Roman"/>
          <w:b/>
          <w:bCs/>
          <w:sz w:val="24"/>
          <w:szCs w:val="24"/>
          <w:lang w:eastAsia="pl-PL"/>
        </w:rPr>
        <w:t>dochody bieżące</w:t>
      </w:r>
      <w:r>
        <w:rPr>
          <w:rFonts w:eastAsia="Times New Roman" w:cs="Times New Roman" w:ascii="Times New Roman" w:hAnsi="Times New Roman"/>
          <w:sz w:val="24"/>
          <w:szCs w:val="24"/>
          <w:lang w:eastAsia="pl-PL"/>
        </w:rPr>
        <w:t xml:space="preserve"> (paragraf 2460),</w:t>
      </w:r>
    </w:p>
    <w:p>
      <w:pPr>
        <w:pStyle w:val="Normal"/>
        <w:numPr>
          <w:ilvl w:val="1"/>
          <w:numId w:val="13"/>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235 000 zł</w:t>
      </w:r>
      <w:r>
        <w:rPr>
          <w:rFonts w:eastAsia="Times New Roman" w:cs="Times New Roman" w:ascii="Times New Roman" w:hAnsi="Times New Roman"/>
          <w:sz w:val="24"/>
          <w:szCs w:val="24"/>
          <w:lang w:eastAsia="pl-PL"/>
        </w:rPr>
        <w:t xml:space="preserve"> jako </w:t>
      </w:r>
      <w:r>
        <w:rPr>
          <w:rFonts w:eastAsia="Times New Roman" w:cs="Times New Roman" w:ascii="Times New Roman" w:hAnsi="Times New Roman"/>
          <w:b/>
          <w:bCs/>
          <w:sz w:val="24"/>
          <w:szCs w:val="24"/>
          <w:lang w:eastAsia="pl-PL"/>
        </w:rPr>
        <w:t>dochody majątkowe</w:t>
      </w:r>
      <w:r>
        <w:rPr>
          <w:rFonts w:eastAsia="Times New Roman" w:cs="Times New Roman" w:ascii="Times New Roman" w:hAnsi="Times New Roman"/>
          <w:sz w:val="24"/>
          <w:szCs w:val="24"/>
          <w:lang w:eastAsia="pl-PL"/>
        </w:rPr>
        <w:t xml:space="preserve"> (paragraf 6280).</w:t>
      </w:r>
    </w:p>
    <w:p>
      <w:pPr>
        <w:pStyle w:val="Nagwek3"/>
        <w:spacing w:before="280" w:after="280"/>
        <w:ind w:firstLine="708"/>
        <w:jc w:val="both"/>
        <w:rPr>
          <w:sz w:val="24"/>
          <w:szCs w:val="24"/>
        </w:rPr>
      </w:pPr>
      <w:r>
        <w:rPr>
          <w:sz w:val="24"/>
          <w:szCs w:val="24"/>
        </w:rPr>
        <w:t>Wydatki</w:t>
      </w:r>
    </w:p>
    <w:p>
      <w:pPr>
        <w:pStyle w:val="Normal"/>
        <w:spacing w:beforeAutospacing="1" w:afterAutospacing="1"/>
        <w:ind w:left="708" w:hanging="0"/>
        <w:jc w:val="both"/>
        <w:rPr>
          <w:rFonts w:ascii="Times New Roman" w:hAnsi="Times New Roman" w:cs="Times New Roman"/>
          <w:sz w:val="24"/>
          <w:szCs w:val="24"/>
        </w:rPr>
      </w:pPr>
      <w:r>
        <w:rPr>
          <w:rFonts w:cs="Times New Roman" w:ascii="Times New Roman" w:hAnsi="Times New Roman"/>
          <w:sz w:val="24"/>
          <w:szCs w:val="24"/>
        </w:rPr>
        <w:t xml:space="preserve">Wydatki ogółem zwiększono o </w:t>
      </w:r>
      <w:r>
        <w:rPr>
          <w:rStyle w:val="Strong"/>
          <w:rFonts w:cs="Times New Roman" w:ascii="Times New Roman" w:hAnsi="Times New Roman"/>
          <w:sz w:val="24"/>
          <w:szCs w:val="24"/>
        </w:rPr>
        <w:t>483 250,36 zł</w:t>
      </w:r>
      <w:r>
        <w:rPr>
          <w:rFonts w:cs="Times New Roman" w:ascii="Times New Roman" w:hAnsi="Times New Roman"/>
          <w:sz w:val="24"/>
          <w:szCs w:val="24"/>
        </w:rPr>
        <w:t xml:space="preserve">, co daje łączną kwotę </w:t>
      </w:r>
      <w:r>
        <w:rPr>
          <w:rStyle w:val="Strong"/>
          <w:rFonts w:cs="Times New Roman" w:ascii="Times New Roman" w:hAnsi="Times New Roman"/>
          <w:sz w:val="24"/>
          <w:szCs w:val="24"/>
        </w:rPr>
        <w:t>234 764 100,25 zł</w:t>
      </w:r>
      <w:r>
        <w:rPr>
          <w:rFonts w:cs="Times New Roman" w:ascii="Times New Roman" w:hAnsi="Times New Roman"/>
          <w:sz w:val="24"/>
          <w:szCs w:val="24"/>
        </w:rPr>
        <w:t xml:space="preserve"> po zmianie. Szczegółowe zmiany obejmują:</w:t>
      </w:r>
    </w:p>
    <w:p>
      <w:pPr>
        <w:pStyle w:val="Normal"/>
        <w:numPr>
          <w:ilvl w:val="0"/>
          <w:numId w:val="10"/>
        </w:numPr>
        <w:spacing w:lineRule="auto" w:line="240" w:beforeAutospacing="1" w:after="0"/>
        <w:jc w:val="both"/>
        <w:rPr>
          <w:rFonts w:ascii="Times New Roman" w:hAnsi="Times New Roman" w:cs="Times New Roman"/>
          <w:sz w:val="24"/>
          <w:szCs w:val="24"/>
        </w:rPr>
      </w:pPr>
      <w:r>
        <w:rPr>
          <w:rStyle w:val="Strong"/>
          <w:rFonts w:cs="Times New Roman" w:ascii="Times New Roman" w:hAnsi="Times New Roman"/>
          <w:sz w:val="24"/>
          <w:szCs w:val="24"/>
        </w:rPr>
        <w:t>Transport i łączność</w:t>
      </w:r>
      <w:r>
        <w:rPr>
          <w:rFonts w:cs="Times New Roman" w:ascii="Times New Roman" w:hAnsi="Times New Roman"/>
          <w:sz w:val="24"/>
          <w:szCs w:val="24"/>
        </w:rPr>
        <w:t>:</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zwiększenie o </w:t>
      </w:r>
      <w:r>
        <w:rPr>
          <w:rStyle w:val="Strong"/>
          <w:rFonts w:cs="Times New Roman" w:ascii="Times New Roman" w:hAnsi="Times New Roman"/>
          <w:sz w:val="24"/>
          <w:szCs w:val="24"/>
        </w:rPr>
        <w:t>400 000 zł</w:t>
      </w:r>
      <w:r>
        <w:rPr>
          <w:rFonts w:cs="Times New Roman" w:ascii="Times New Roman" w:hAnsi="Times New Roman"/>
          <w:sz w:val="24"/>
          <w:szCs w:val="24"/>
        </w:rPr>
        <w:t xml:space="preserve"> z przeznaczeniem na </w:t>
      </w:r>
      <w:r>
        <w:rPr>
          <w:rStyle w:val="Strong"/>
          <w:rFonts w:cs="Times New Roman" w:ascii="Times New Roman" w:hAnsi="Times New Roman"/>
          <w:sz w:val="24"/>
          <w:szCs w:val="24"/>
        </w:rPr>
        <w:t>dokapitalizowanie spółki Trans-Lub</w:t>
      </w:r>
      <w:r>
        <w:rPr>
          <w:rFonts w:cs="Times New Roman" w:ascii="Times New Roman" w:hAnsi="Times New Roman"/>
          <w:sz w:val="24"/>
          <w:szCs w:val="24"/>
        </w:rPr>
        <w:t xml:space="preserve">, która zgodnie z przekazanym uzasadnieniem zamierza przeznaczyć środki na zakup autobusów – jednego do przewozu dzieci </w:t>
        <w:br/>
        <w:t>z niepełnosprawnościami oraz drugiego do obsługi linii miejskiej.</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Prezes spółki zadeklarował wykorzystanie środków zgodnie z celem, mimo że formalnie zarząd ma pewną swobodę decyzji.</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Radni Komisji Rozwoju i Infrastruktury poprosili Prezesa o przedstawienie na kolejnym posiedzeniu analizy porównawczej pomiędzy zakupem autobusu a leasingiem.</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Skarbnik oraz Burmistrz podkreślili, że zgodnie z zasadą nadzoru właścicielskiego nie należy ingerować w sposób realizacji zadania, lecz kontrolować jego efektywność.</w:t>
      </w:r>
    </w:p>
    <w:p>
      <w:pPr>
        <w:pStyle w:val="Normal"/>
        <w:numPr>
          <w:ilvl w:val="0"/>
          <w:numId w:val="10"/>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Gospodarka przestrzenna i urbanistyka</w:t>
      </w:r>
      <w:r>
        <w:rPr>
          <w:rFonts w:cs="Times New Roman" w:ascii="Times New Roman" w:hAnsi="Times New Roman"/>
          <w:sz w:val="24"/>
          <w:szCs w:val="24"/>
        </w:rPr>
        <w:t>:</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zwiększenie środków na operaty szacunkowe związane z procedurami planistycznymi,</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środki na wynagrodzenia członków Komisji Urbanistyczno-Architektonicznej,</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zwiększenie wydatków w ramach opłat adiaceńskich.</w:t>
      </w:r>
    </w:p>
    <w:p>
      <w:pPr>
        <w:pStyle w:val="Normal"/>
        <w:numPr>
          <w:ilvl w:val="0"/>
          <w:numId w:val="10"/>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Oświata i wychowanie</w:t>
      </w:r>
      <w:r>
        <w:rPr>
          <w:rFonts w:cs="Times New Roman" w:ascii="Times New Roman" w:hAnsi="Times New Roman"/>
          <w:sz w:val="24"/>
          <w:szCs w:val="24"/>
        </w:rPr>
        <w:t>:</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przeniesienie środków z rozdziału "Przedszkola" do rozdziału </w:t>
      </w:r>
      <w:r>
        <w:rPr>
          <w:rStyle w:val="Strong"/>
          <w:rFonts w:cs="Times New Roman" w:ascii="Times New Roman" w:hAnsi="Times New Roman"/>
          <w:sz w:val="24"/>
          <w:szCs w:val="24"/>
        </w:rPr>
        <w:t>80149</w:t>
      </w:r>
      <w:r>
        <w:rPr>
          <w:rFonts w:cs="Times New Roman" w:ascii="Times New Roman" w:hAnsi="Times New Roman"/>
          <w:sz w:val="24"/>
          <w:szCs w:val="24"/>
        </w:rPr>
        <w:t xml:space="preserve"> </w:t>
        <w:br/>
        <w:t>w związku z objęciem specjalnym kształceniem jednego z przedszkolaków.</w:t>
      </w:r>
    </w:p>
    <w:p>
      <w:pPr>
        <w:pStyle w:val="Normal"/>
        <w:numPr>
          <w:ilvl w:val="0"/>
          <w:numId w:val="10"/>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Pomoc społeczna</w:t>
      </w:r>
      <w:r>
        <w:rPr>
          <w:rFonts w:cs="Times New Roman" w:ascii="Times New Roman" w:hAnsi="Times New Roman"/>
          <w:sz w:val="24"/>
          <w:szCs w:val="24"/>
        </w:rPr>
        <w:t>:</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ujęcie wcześniej wspomnianych dotacji z tytułu zasiłków okresowych, stałych i dodatków mieszkaniowych,</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dodatkowo w rozdziale </w:t>
      </w:r>
      <w:r>
        <w:rPr>
          <w:rStyle w:val="Strong"/>
          <w:rFonts w:cs="Times New Roman" w:ascii="Times New Roman" w:hAnsi="Times New Roman"/>
          <w:sz w:val="24"/>
          <w:szCs w:val="24"/>
        </w:rPr>
        <w:t>85395</w:t>
      </w:r>
      <w:r>
        <w:rPr>
          <w:rFonts w:cs="Times New Roman" w:ascii="Times New Roman" w:hAnsi="Times New Roman"/>
          <w:sz w:val="24"/>
          <w:szCs w:val="24"/>
        </w:rPr>
        <w:t xml:space="preserve"> wprowadza się środki w wysokości </w:t>
      </w:r>
      <w:r>
        <w:rPr>
          <w:rStyle w:val="Strong"/>
          <w:rFonts w:cs="Times New Roman" w:ascii="Times New Roman" w:hAnsi="Times New Roman"/>
          <w:sz w:val="24"/>
          <w:szCs w:val="24"/>
        </w:rPr>
        <w:t>70 000 zł</w:t>
      </w:r>
      <w:r>
        <w:rPr>
          <w:rFonts w:cs="Times New Roman" w:ascii="Times New Roman" w:hAnsi="Times New Roman"/>
          <w:sz w:val="24"/>
          <w:szCs w:val="24"/>
        </w:rPr>
        <w:t>.</w:t>
      </w:r>
    </w:p>
    <w:p>
      <w:pPr>
        <w:pStyle w:val="Normal"/>
        <w:numPr>
          <w:ilvl w:val="0"/>
          <w:numId w:val="10"/>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Rodzina</w:t>
      </w:r>
      <w:r>
        <w:rPr>
          <w:rFonts w:cs="Times New Roman" w:ascii="Times New Roman" w:hAnsi="Times New Roman"/>
          <w:sz w:val="24"/>
          <w:szCs w:val="24"/>
        </w:rPr>
        <w:t>:</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ujęcie środków zwróconych przez beneficjentów świadczeń z lat ubiegłych.</w:t>
      </w:r>
    </w:p>
    <w:p>
      <w:pPr>
        <w:pStyle w:val="Normal"/>
        <w:numPr>
          <w:ilvl w:val="0"/>
          <w:numId w:val="10"/>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Kanalizacja deszczowa (dział 90001)</w:t>
      </w:r>
      <w:r>
        <w:rPr>
          <w:rFonts w:cs="Times New Roman" w:ascii="Times New Roman" w:hAnsi="Times New Roman"/>
          <w:sz w:val="24"/>
          <w:szCs w:val="24"/>
        </w:rPr>
        <w:t>:</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zwiększenie wydatków o </w:t>
      </w:r>
      <w:r>
        <w:rPr>
          <w:rStyle w:val="Strong"/>
          <w:rFonts w:cs="Times New Roman" w:ascii="Times New Roman" w:hAnsi="Times New Roman"/>
          <w:sz w:val="24"/>
          <w:szCs w:val="24"/>
        </w:rPr>
        <w:t>120 000 zł</w:t>
      </w:r>
      <w:r>
        <w:rPr>
          <w:rFonts w:cs="Times New Roman" w:ascii="Times New Roman" w:hAnsi="Times New Roman"/>
          <w:sz w:val="24"/>
          <w:szCs w:val="24"/>
        </w:rPr>
        <w:t xml:space="preserve"> na remonty kanalizacji deszczowej; środki te przeniesiono z rozdziału </w:t>
      </w:r>
      <w:r>
        <w:rPr>
          <w:rStyle w:val="Strong"/>
          <w:rFonts w:cs="Times New Roman" w:ascii="Times New Roman" w:hAnsi="Times New Roman"/>
          <w:sz w:val="24"/>
          <w:szCs w:val="24"/>
        </w:rPr>
        <w:t>616</w:t>
      </w:r>
      <w:r>
        <w:rPr>
          <w:rFonts w:cs="Times New Roman" w:ascii="Times New Roman" w:hAnsi="Times New Roman"/>
          <w:sz w:val="24"/>
          <w:szCs w:val="24"/>
        </w:rPr>
        <w:t xml:space="preserve"> (remont drogi), w celu właściwego przypisania do klasyfikacji budżetowej i rozdzielenia kosztów dotyczących nawierzchni i infrastruktury podziemnej.</w:t>
      </w:r>
    </w:p>
    <w:p>
      <w:pPr>
        <w:pStyle w:val="Normal"/>
        <w:numPr>
          <w:ilvl w:val="0"/>
          <w:numId w:val="10"/>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Adaptacja do zmian klimatu</w:t>
      </w:r>
      <w:r>
        <w:rPr>
          <w:rFonts w:cs="Times New Roman" w:ascii="Times New Roman" w:hAnsi="Times New Roman"/>
          <w:sz w:val="24"/>
          <w:szCs w:val="24"/>
        </w:rPr>
        <w:t>:</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środki przeznaczone na opracowanie planu adaptacji do zmian klimatu oraz na działania edukacyjne dla mieszkańców Lubonia.</w:t>
      </w:r>
    </w:p>
    <w:p>
      <w:pPr>
        <w:pStyle w:val="Normal"/>
        <w:numPr>
          <w:ilvl w:val="0"/>
          <w:numId w:val="10"/>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Kultura</w:t>
      </w:r>
      <w:r>
        <w:rPr>
          <w:rFonts w:cs="Times New Roman" w:ascii="Times New Roman" w:hAnsi="Times New Roman"/>
          <w:sz w:val="24"/>
          <w:szCs w:val="24"/>
        </w:rPr>
        <w:t>:</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środki przeznaczone na imprezy miejskie,</w:t>
      </w:r>
    </w:p>
    <w:p>
      <w:pPr>
        <w:pStyle w:val="Normal"/>
        <w:numPr>
          <w:ilvl w:val="1"/>
          <w:numId w:val="1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przeniesienia wydatków między grupami w związku ze zmianą charakteru umów z wykonawcami.</w:t>
      </w:r>
    </w:p>
    <w:p>
      <w:pPr>
        <w:pStyle w:val="Normal"/>
        <w:numPr>
          <w:ilvl w:val="0"/>
          <w:numId w:val="10"/>
        </w:numPr>
        <w:spacing w:lineRule="auto" w:line="240" w:before="0" w:after="0"/>
        <w:jc w:val="both"/>
        <w:rPr>
          <w:rFonts w:ascii="Times New Roman" w:hAnsi="Times New Roman" w:cs="Times New Roman"/>
          <w:sz w:val="24"/>
          <w:szCs w:val="24"/>
        </w:rPr>
      </w:pPr>
      <w:r>
        <w:rPr>
          <w:rStyle w:val="Strong"/>
          <w:rFonts w:cs="Times New Roman" w:ascii="Times New Roman" w:hAnsi="Times New Roman"/>
          <w:sz w:val="24"/>
          <w:szCs w:val="24"/>
        </w:rPr>
        <w:t>Kultura fizyczna</w:t>
      </w:r>
      <w:r>
        <w:rPr>
          <w:rFonts w:cs="Times New Roman" w:ascii="Times New Roman" w:hAnsi="Times New Roman"/>
          <w:sz w:val="24"/>
          <w:szCs w:val="24"/>
        </w:rPr>
        <w:t>:</w:t>
      </w:r>
    </w:p>
    <w:p>
      <w:pPr>
        <w:pStyle w:val="Normal"/>
        <w:numPr>
          <w:ilvl w:val="1"/>
          <w:numId w:val="10"/>
        </w:numPr>
        <w:spacing w:lineRule="auto" w:line="240" w:before="0" w:afterAutospacing="1"/>
        <w:jc w:val="both"/>
        <w:rPr>
          <w:rFonts w:ascii="Times New Roman" w:hAnsi="Times New Roman" w:cs="Times New Roman"/>
          <w:sz w:val="24"/>
          <w:szCs w:val="24"/>
        </w:rPr>
      </w:pPr>
      <w:r>
        <w:rPr>
          <w:rFonts w:cs="Times New Roman" w:ascii="Times New Roman" w:hAnsi="Times New Roman"/>
          <w:sz w:val="24"/>
          <w:szCs w:val="24"/>
        </w:rPr>
        <w:t xml:space="preserve">przeniesienie środków z budowy placu zabaw przy ul. Wodnej (rozdział 92695) do rozdziału </w:t>
      </w:r>
      <w:r>
        <w:rPr>
          <w:rStyle w:val="Strong"/>
          <w:rFonts w:cs="Times New Roman" w:ascii="Times New Roman" w:hAnsi="Times New Roman"/>
          <w:sz w:val="24"/>
          <w:szCs w:val="24"/>
        </w:rPr>
        <w:t>85395</w:t>
      </w:r>
      <w:r>
        <w:rPr>
          <w:rFonts w:cs="Times New Roman" w:ascii="Times New Roman" w:hAnsi="Times New Roman"/>
          <w:sz w:val="24"/>
          <w:szCs w:val="24"/>
        </w:rPr>
        <w:t>.</w:t>
      </w:r>
    </w:p>
    <w:p>
      <w:pPr>
        <w:pStyle w:val="Nagwek3"/>
        <w:spacing w:before="280" w:after="280"/>
        <w:ind w:firstLine="708"/>
        <w:jc w:val="both"/>
        <w:rPr>
          <w:sz w:val="24"/>
          <w:szCs w:val="24"/>
        </w:rPr>
      </w:pPr>
      <w:r>
        <w:rPr>
          <w:sz w:val="24"/>
          <w:szCs w:val="24"/>
        </w:rPr>
        <w:t>Rozchody i przychody</w:t>
      </w:r>
    </w:p>
    <w:p>
      <w:pPr>
        <w:pStyle w:val="Normal"/>
        <w:spacing w:beforeAutospacing="1" w:afterAutospacing="1"/>
        <w:ind w:left="708" w:hanging="0"/>
        <w:jc w:val="both"/>
        <w:rPr>
          <w:rFonts w:ascii="Times New Roman" w:hAnsi="Times New Roman" w:cs="Times New Roman"/>
          <w:sz w:val="24"/>
          <w:szCs w:val="24"/>
        </w:rPr>
      </w:pPr>
      <w:r>
        <w:rPr>
          <w:rFonts w:cs="Times New Roman" w:ascii="Times New Roman" w:hAnsi="Times New Roman"/>
          <w:sz w:val="24"/>
          <w:szCs w:val="24"/>
        </w:rPr>
        <w:t xml:space="preserve">Zmieniono również rozchody związane ze spłatą kredytów i pożyczek, w związku </w:t>
        <w:br/>
        <w:t>z korzystniejszymi warunkami zaciągniętej w ubiegłym roku pożyczki. W rezultacie obniżono wysokość rat planowanych do spłaty w roku 2025. Aby zrównoważyć budżet, odpowiednio zmniejszono przychody z tytułu wolnych środków.</w:t>
      </w:r>
    </w:p>
    <w:p>
      <w:pPr>
        <w:pStyle w:val="Nagwek3"/>
        <w:spacing w:before="280" w:after="280"/>
        <w:ind w:firstLine="708"/>
        <w:jc w:val="both"/>
        <w:rPr>
          <w:sz w:val="24"/>
          <w:szCs w:val="24"/>
        </w:rPr>
      </w:pPr>
      <w:r>
        <w:rPr>
          <w:sz w:val="24"/>
          <w:szCs w:val="24"/>
        </w:rPr>
        <w:t>Autopoprawka zgłoszona przez Skarbnika</w:t>
      </w:r>
    </w:p>
    <w:p>
      <w:pPr>
        <w:pStyle w:val="Normal"/>
        <w:spacing w:beforeAutospacing="1" w:afterAutospacing="1"/>
        <w:ind w:left="708" w:hanging="0"/>
        <w:jc w:val="both"/>
        <w:rPr>
          <w:rFonts w:ascii="Times New Roman" w:hAnsi="Times New Roman" w:cs="Times New Roman"/>
          <w:sz w:val="24"/>
          <w:szCs w:val="24"/>
        </w:rPr>
      </w:pPr>
      <w:r>
        <w:rPr>
          <w:rFonts w:cs="Times New Roman" w:ascii="Times New Roman" w:hAnsi="Times New Roman"/>
          <w:sz w:val="24"/>
          <w:szCs w:val="24"/>
        </w:rPr>
        <w:t xml:space="preserve">Na zakończenie swojego wystąpienia Skarbnik Miasta zgłosił autopoprawkę do projektu uchwały. Dotyczy ona </w:t>
      </w:r>
      <w:r>
        <w:rPr>
          <w:rStyle w:val="Strong"/>
          <w:rFonts w:cs="Times New Roman" w:ascii="Times New Roman" w:hAnsi="Times New Roman"/>
          <w:sz w:val="24"/>
          <w:szCs w:val="24"/>
        </w:rPr>
        <w:t>rozdziału 85502</w:t>
      </w:r>
      <w:r>
        <w:rPr>
          <w:rFonts w:cs="Times New Roman" w:ascii="Times New Roman" w:hAnsi="Times New Roman"/>
          <w:sz w:val="24"/>
          <w:szCs w:val="24"/>
        </w:rPr>
        <w:t>, w którym zaplanowano zwiększenie dochodów w dwóch paragrafach:</w:t>
      </w:r>
    </w:p>
    <w:p>
      <w:pPr>
        <w:pStyle w:val="Normal"/>
        <w:numPr>
          <w:ilvl w:val="0"/>
          <w:numId w:val="11"/>
        </w:numPr>
        <w:spacing w:lineRule="auto" w:line="240" w:beforeAutospacing="1" w:after="0"/>
        <w:jc w:val="both"/>
        <w:rPr>
          <w:rFonts w:ascii="Times New Roman" w:hAnsi="Times New Roman" w:cs="Times New Roman"/>
          <w:sz w:val="24"/>
          <w:szCs w:val="24"/>
        </w:rPr>
      </w:pPr>
      <w:r>
        <w:rPr>
          <w:rStyle w:val="Strong"/>
          <w:rFonts w:cs="Times New Roman" w:ascii="Times New Roman" w:hAnsi="Times New Roman"/>
          <w:sz w:val="24"/>
          <w:szCs w:val="24"/>
        </w:rPr>
        <w:t>Paragraf 092</w:t>
      </w:r>
      <w:r>
        <w:rPr>
          <w:rFonts w:cs="Times New Roman" w:ascii="Times New Roman" w:hAnsi="Times New Roman"/>
          <w:sz w:val="24"/>
          <w:szCs w:val="24"/>
        </w:rPr>
        <w:t xml:space="preserve"> – „pozostałe odsetki”,</w:t>
      </w:r>
    </w:p>
    <w:p>
      <w:pPr>
        <w:pStyle w:val="Normal"/>
        <w:numPr>
          <w:ilvl w:val="0"/>
          <w:numId w:val="11"/>
        </w:numPr>
        <w:spacing w:lineRule="auto" w:line="240" w:before="0" w:afterAutospacing="1"/>
        <w:jc w:val="both"/>
        <w:rPr>
          <w:rFonts w:ascii="Times New Roman" w:hAnsi="Times New Roman" w:cs="Times New Roman"/>
          <w:sz w:val="24"/>
          <w:szCs w:val="24"/>
        </w:rPr>
      </w:pPr>
      <w:r>
        <w:rPr>
          <w:rStyle w:val="Strong"/>
          <w:rFonts w:cs="Times New Roman" w:ascii="Times New Roman" w:hAnsi="Times New Roman"/>
          <w:sz w:val="24"/>
          <w:szCs w:val="24"/>
        </w:rPr>
        <w:t>Paragraf 094</w:t>
      </w:r>
      <w:r>
        <w:rPr>
          <w:rFonts w:cs="Times New Roman" w:ascii="Times New Roman" w:hAnsi="Times New Roman"/>
          <w:sz w:val="24"/>
          <w:szCs w:val="24"/>
        </w:rPr>
        <w:t xml:space="preserve"> – „wpływy z rozliczeń zwrotów z lat ubiegłych”.</w:t>
      </w:r>
    </w:p>
    <w:p>
      <w:pPr>
        <w:pStyle w:val="Normal"/>
        <w:spacing w:beforeAutospacing="1" w:afterAutospacing="1"/>
        <w:ind w:left="708" w:hanging="0"/>
        <w:jc w:val="both"/>
        <w:rPr>
          <w:rFonts w:ascii="Times New Roman" w:hAnsi="Times New Roman" w:cs="Times New Roman"/>
          <w:sz w:val="24"/>
          <w:szCs w:val="24"/>
        </w:rPr>
      </w:pPr>
      <w:r>
        <w:rPr>
          <w:rFonts w:cs="Times New Roman" w:ascii="Times New Roman" w:hAnsi="Times New Roman"/>
          <w:sz w:val="24"/>
          <w:szCs w:val="24"/>
        </w:rPr>
        <w:t xml:space="preserve">Łączna wartość zwiększenia wynosi </w:t>
      </w:r>
      <w:r>
        <w:rPr>
          <w:rStyle w:val="Strong"/>
          <w:rFonts w:cs="Times New Roman" w:ascii="Times New Roman" w:hAnsi="Times New Roman"/>
          <w:sz w:val="24"/>
          <w:szCs w:val="24"/>
        </w:rPr>
        <w:t>1 100 zł</w:t>
      </w:r>
      <w:r>
        <w:rPr>
          <w:rFonts w:cs="Times New Roman" w:ascii="Times New Roman" w:hAnsi="Times New Roman"/>
          <w:sz w:val="24"/>
          <w:szCs w:val="24"/>
        </w:rPr>
        <w:t xml:space="preserve">. Środki te pochodzą z egzekucji dokonanej przez Miejski Ośrodek Pomocy Społecznej w związku z </w:t>
      </w:r>
      <w:r>
        <w:rPr>
          <w:rStyle w:val="Strong"/>
          <w:rFonts w:cs="Times New Roman" w:ascii="Times New Roman" w:hAnsi="Times New Roman"/>
          <w:sz w:val="24"/>
          <w:szCs w:val="24"/>
        </w:rPr>
        <w:t>nienależnie pobranymi świadczeniami rodzinnymi</w:t>
      </w:r>
      <w:r>
        <w:rPr>
          <w:rFonts w:cs="Times New Roman" w:ascii="Times New Roman" w:hAnsi="Times New Roman"/>
          <w:sz w:val="24"/>
          <w:szCs w:val="24"/>
        </w:rPr>
        <w:t>.</w:t>
      </w:r>
    </w:p>
    <w:p>
      <w:pPr>
        <w:pStyle w:val="Normal"/>
        <w:spacing w:beforeAutospacing="1" w:afterAutospacing="1"/>
        <w:ind w:left="708" w:hanging="0"/>
        <w:jc w:val="both"/>
        <w:rPr>
          <w:rFonts w:ascii="Times New Roman" w:hAnsi="Times New Roman" w:cs="Times New Roman"/>
          <w:sz w:val="24"/>
          <w:szCs w:val="24"/>
        </w:rPr>
      </w:pPr>
      <w:r>
        <w:rPr>
          <w:rFonts w:cs="Times New Roman" w:ascii="Times New Roman" w:hAnsi="Times New Roman"/>
          <w:sz w:val="24"/>
          <w:szCs w:val="24"/>
        </w:rPr>
        <w:t xml:space="preserve">Po stronie wydatków środki te zostaną zaplanowane w grupie </w:t>
      </w:r>
      <w:r>
        <w:rPr>
          <w:rStyle w:val="Strong"/>
          <w:rFonts w:cs="Times New Roman" w:ascii="Times New Roman" w:hAnsi="Times New Roman"/>
          <w:sz w:val="24"/>
          <w:szCs w:val="24"/>
        </w:rPr>
        <w:t>wydatków statutowych</w:t>
      </w:r>
      <w:r>
        <w:rPr>
          <w:rFonts w:cs="Times New Roman" w:ascii="Times New Roman" w:hAnsi="Times New Roman"/>
          <w:sz w:val="24"/>
          <w:szCs w:val="24"/>
        </w:rPr>
        <w:t xml:space="preserve">, a następnie przekazane do właściwego dysponenta, tj. </w:t>
      </w:r>
      <w:r>
        <w:rPr>
          <w:rStyle w:val="Strong"/>
          <w:rFonts w:cs="Times New Roman" w:ascii="Times New Roman" w:hAnsi="Times New Roman"/>
          <w:sz w:val="24"/>
          <w:szCs w:val="24"/>
        </w:rPr>
        <w:t>do budżetu Wojewody Wielkopolskiego</w:t>
      </w:r>
      <w:r>
        <w:rPr>
          <w:rFonts w:cs="Times New Roman" w:ascii="Times New Roman" w:hAnsi="Times New Roman"/>
          <w:sz w:val="24"/>
          <w:szCs w:val="24"/>
        </w:rPr>
        <w:t>, który zarządza tą częścią Funduszu Pomocy.</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Po zakończeniu przedstawienia zmian w uchwale budżetowej oraz zgłoszenia autopoprawki przez Skarbnika Miasta, przewodnicząca komisji otworzyła dyskusję </w:t>
        <w:br/>
        <w:t>i zadawanie pytań:</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ListParagraph"/>
        <w:numPr>
          <w:ilvl w:val="0"/>
          <w:numId w:val="14"/>
        </w:numPr>
        <w:spacing w:lineRule="auto" w:line="240" w:beforeAutospacing="1" w:afterAutospacing="1"/>
        <w:contextualSpacing/>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Głos zabrał radny </w:t>
      </w:r>
      <w:r>
        <w:rPr>
          <w:rFonts w:eastAsia="Times New Roman" w:cs="Times New Roman" w:ascii="Times New Roman" w:hAnsi="Times New Roman"/>
          <w:b/>
          <w:bCs/>
          <w:sz w:val="24"/>
          <w:szCs w:val="24"/>
          <w:lang w:eastAsia="pl-PL"/>
        </w:rPr>
        <w:t>Hieronim Gawelski</w:t>
      </w:r>
      <w:r>
        <w:rPr>
          <w:rFonts w:eastAsia="Times New Roman" w:cs="Times New Roman" w:ascii="Times New Roman" w:hAnsi="Times New Roman"/>
          <w:sz w:val="24"/>
          <w:szCs w:val="24"/>
          <w:lang w:eastAsia="pl-PL"/>
        </w:rPr>
        <w:t>, który zwrócił uwagę na sposób ujęcia wydatków inwestycyjnych w zakresie infrastruktury drogowej i zapytał:</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t>
      </w:r>
      <w:r>
        <w:rPr>
          <w:rFonts w:eastAsia="Times New Roman" w:cs="Times New Roman" w:ascii="Times New Roman" w:hAnsi="Times New Roman"/>
          <w:b/>
          <w:bCs/>
          <w:sz w:val="24"/>
          <w:szCs w:val="24"/>
          <w:lang w:eastAsia="pl-PL"/>
        </w:rPr>
        <w:t xml:space="preserve">W projekcie uchwały zaplanowano rozdzielenie środków na remont dróg </w:t>
        <w:br/>
        <w:t>i kanalizacji deszczowej – czy może Pan wyjaśnić, z czego wynika konieczność takiego rozbicia jednej inwestycji na dwa oddzielne rozdziały budżetowe?”</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odpowiedzi </w:t>
      </w:r>
      <w:r>
        <w:rPr>
          <w:rFonts w:eastAsia="Times New Roman" w:cs="Times New Roman" w:ascii="Times New Roman" w:hAnsi="Times New Roman"/>
          <w:b/>
          <w:bCs/>
          <w:sz w:val="24"/>
          <w:szCs w:val="24"/>
          <w:lang w:eastAsia="pl-PL"/>
        </w:rPr>
        <w:t>Skarbnik Miasta Mirosław Stromczyński</w:t>
      </w:r>
      <w:r>
        <w:rPr>
          <w:rFonts w:eastAsia="Times New Roman" w:cs="Times New Roman" w:ascii="Times New Roman" w:hAnsi="Times New Roman"/>
          <w:sz w:val="24"/>
          <w:szCs w:val="24"/>
          <w:lang w:eastAsia="pl-PL"/>
        </w:rPr>
        <w:t xml:space="preserve"> wyjaśnił, że pierwotnie wszystkie środki przeznaczone były na remont nawierzchni drogowej i zapisane </w:t>
        <w:br/>
        <w:t xml:space="preserve">w rozdziale </w:t>
      </w:r>
      <w:r>
        <w:rPr>
          <w:rFonts w:eastAsia="Times New Roman" w:cs="Times New Roman" w:ascii="Times New Roman" w:hAnsi="Times New Roman"/>
          <w:b/>
          <w:bCs/>
          <w:sz w:val="24"/>
          <w:szCs w:val="24"/>
          <w:lang w:eastAsia="pl-PL"/>
        </w:rPr>
        <w:t>616</w:t>
      </w:r>
      <w:r>
        <w:rPr>
          <w:rFonts w:eastAsia="Times New Roman" w:cs="Times New Roman" w:ascii="Times New Roman" w:hAnsi="Times New Roman"/>
          <w:sz w:val="24"/>
          <w:szCs w:val="24"/>
          <w:lang w:eastAsia="pl-PL"/>
        </w:rPr>
        <w:t xml:space="preserve">. Jednakże w toku przygotowań do realizacji inwestycji stwierdzono, że </w:t>
      </w:r>
      <w:r>
        <w:rPr>
          <w:rFonts w:eastAsia="Times New Roman" w:cs="Times New Roman" w:ascii="Times New Roman" w:hAnsi="Times New Roman"/>
          <w:b/>
          <w:bCs/>
          <w:sz w:val="24"/>
          <w:szCs w:val="24"/>
          <w:lang w:eastAsia="pl-PL"/>
        </w:rPr>
        <w:t>konieczne będzie równoległe wykonanie remontu kanalizacji deszczowej</w:t>
      </w:r>
      <w:r>
        <w:rPr>
          <w:rFonts w:eastAsia="Times New Roman" w:cs="Times New Roman" w:ascii="Times New Roman" w:hAnsi="Times New Roman"/>
          <w:sz w:val="24"/>
          <w:szCs w:val="24"/>
          <w:lang w:eastAsia="pl-PL"/>
        </w:rPr>
        <w:t xml:space="preserve">, znajdującej się pod remontowanymi odcinkami jezdni. W związku z tym, aby zapewnić </w:t>
      </w:r>
      <w:r>
        <w:rPr>
          <w:rFonts w:eastAsia="Times New Roman" w:cs="Times New Roman" w:ascii="Times New Roman" w:hAnsi="Times New Roman"/>
          <w:b/>
          <w:bCs/>
          <w:sz w:val="24"/>
          <w:szCs w:val="24"/>
          <w:lang w:eastAsia="pl-PL"/>
        </w:rPr>
        <w:t>prawidłową klasyfikację budżetową</w:t>
      </w:r>
      <w:r>
        <w:rPr>
          <w:rFonts w:eastAsia="Times New Roman" w:cs="Times New Roman" w:ascii="Times New Roman" w:hAnsi="Times New Roman"/>
          <w:sz w:val="24"/>
          <w:szCs w:val="24"/>
          <w:lang w:eastAsia="pl-PL"/>
        </w:rPr>
        <w:t xml:space="preserve">, niezbędne było </w:t>
      </w:r>
      <w:r>
        <w:rPr>
          <w:rFonts w:eastAsia="Times New Roman" w:cs="Times New Roman" w:ascii="Times New Roman" w:hAnsi="Times New Roman"/>
          <w:b/>
          <w:bCs/>
          <w:sz w:val="24"/>
          <w:szCs w:val="24"/>
          <w:lang w:eastAsia="pl-PL"/>
        </w:rPr>
        <w:t>wyodrębnienie wydatków związanych z kanalizacją</w:t>
      </w:r>
      <w:r>
        <w:rPr>
          <w:rFonts w:eastAsia="Times New Roman" w:cs="Times New Roman" w:ascii="Times New Roman" w:hAnsi="Times New Roman"/>
          <w:sz w:val="24"/>
          <w:szCs w:val="24"/>
          <w:lang w:eastAsia="pl-PL"/>
        </w:rPr>
        <w:t xml:space="preserve"> i przypisanie ich do rozdziału </w:t>
      </w:r>
      <w:r>
        <w:rPr>
          <w:rFonts w:eastAsia="Times New Roman" w:cs="Times New Roman" w:ascii="Times New Roman" w:hAnsi="Times New Roman"/>
          <w:b/>
          <w:bCs/>
          <w:sz w:val="24"/>
          <w:szCs w:val="24"/>
          <w:lang w:eastAsia="pl-PL"/>
        </w:rPr>
        <w:t>90001</w:t>
      </w:r>
      <w:r>
        <w:rPr>
          <w:rFonts w:eastAsia="Times New Roman" w:cs="Times New Roman" w:ascii="Times New Roman" w:hAnsi="Times New Roman"/>
          <w:sz w:val="24"/>
          <w:szCs w:val="24"/>
          <w:lang w:eastAsia="pl-PL"/>
        </w:rPr>
        <w:t>.</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Skarbnik zaznaczył, że całkowita pula środków nie uległa zmianie – zmienił się jedynie sposób ich ujęcia w budżecie, zgodnie z obowiązującymi przepisami i zasadami klasyfikacji budżetowej. Podkreślił również, że taka praktyka jest wymagana, aby jasno wskazywać cel wydatków, a także odpowiednio ewidencjonować majątek trwały miasta, np. rozróżniając pomiędzy środkami trwałymi związanymi z drogami a tymi przypisanymi do infrastruktury wodno-kanalizacyjnej.</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dalszej części wypowiedzi Skarbnik odniósł się do trudności interpretacyjnych przy kwalifikowaniu niektórych prac, takich jak np. </w:t>
      </w:r>
      <w:r>
        <w:rPr>
          <w:rFonts w:eastAsia="Times New Roman" w:cs="Times New Roman" w:ascii="Times New Roman" w:hAnsi="Times New Roman"/>
          <w:b/>
          <w:bCs/>
          <w:sz w:val="24"/>
          <w:szCs w:val="24"/>
          <w:lang w:eastAsia="pl-PL"/>
        </w:rPr>
        <w:t>obróbka kamienia wokół studzienek</w:t>
      </w:r>
      <w:r>
        <w:rPr>
          <w:rFonts w:eastAsia="Times New Roman" w:cs="Times New Roman" w:ascii="Times New Roman" w:hAnsi="Times New Roman"/>
          <w:sz w:val="24"/>
          <w:szCs w:val="24"/>
          <w:lang w:eastAsia="pl-PL"/>
        </w:rPr>
        <w:t xml:space="preserve">, która z jednej strony stanowi część nawierzchni drogowej, a z drugiej – jest elementem infrastruktury kanalizacyjnej. Zaznaczył, że w takich przypadkach konieczne jest zachowanie spójności z dokumentacją projektową i określenie, </w:t>
      </w:r>
      <w:r>
        <w:rPr>
          <w:rFonts w:eastAsia="Times New Roman" w:cs="Times New Roman" w:ascii="Times New Roman" w:hAnsi="Times New Roman"/>
          <w:b/>
          <w:bCs/>
          <w:sz w:val="24"/>
          <w:szCs w:val="24"/>
          <w:lang w:eastAsia="pl-PL"/>
        </w:rPr>
        <w:t>co jest głównym celem inwestycji</w:t>
      </w:r>
      <w:r>
        <w:rPr>
          <w:rFonts w:eastAsia="Times New Roman" w:cs="Times New Roman" w:ascii="Times New Roman" w:hAnsi="Times New Roman"/>
          <w:sz w:val="24"/>
          <w:szCs w:val="24"/>
          <w:lang w:eastAsia="pl-PL"/>
        </w:rPr>
        <w:t xml:space="preserve"> – nawierzchnia drogowa czy infrastruktura podziemna.</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Odnosząc się do porównania z innymi podmiotami, Skarbnik dodał, że np. </w:t>
      </w:r>
      <w:r>
        <w:rPr>
          <w:rFonts w:eastAsia="Times New Roman" w:cs="Times New Roman" w:ascii="Times New Roman" w:hAnsi="Times New Roman"/>
          <w:b/>
          <w:bCs/>
          <w:sz w:val="24"/>
          <w:szCs w:val="24"/>
          <w:lang w:eastAsia="pl-PL"/>
        </w:rPr>
        <w:t>spółka Aquanet</w:t>
      </w:r>
      <w:r>
        <w:rPr>
          <w:rFonts w:eastAsia="Times New Roman" w:cs="Times New Roman" w:ascii="Times New Roman" w:hAnsi="Times New Roman"/>
          <w:sz w:val="24"/>
          <w:szCs w:val="24"/>
          <w:lang w:eastAsia="pl-PL"/>
        </w:rPr>
        <w:t>, realizując własne prace odtworzeniowe po robotach kanalizacyjnych, może stosować inną metodologię klasyfikowania kosztów – jednak jednostki samorządu terytorialnego, takie jak Miasto Luboń, są zobowiązane do przestrzegania szczegółowej klasyfikacji budżetowej oraz ewidencji środków trwałych.</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Skarbnik podsumował, że w omawianym przypadku działania te mają charakter </w:t>
      </w:r>
      <w:r>
        <w:rPr>
          <w:rFonts w:eastAsia="Times New Roman" w:cs="Times New Roman" w:ascii="Times New Roman" w:hAnsi="Times New Roman"/>
          <w:b/>
          <w:bCs/>
          <w:sz w:val="24"/>
          <w:szCs w:val="24"/>
          <w:lang w:eastAsia="pl-PL"/>
        </w:rPr>
        <w:t>remontowy</w:t>
      </w:r>
      <w:r>
        <w:rPr>
          <w:rFonts w:eastAsia="Times New Roman" w:cs="Times New Roman" w:ascii="Times New Roman" w:hAnsi="Times New Roman"/>
          <w:sz w:val="24"/>
          <w:szCs w:val="24"/>
          <w:lang w:eastAsia="pl-PL"/>
        </w:rPr>
        <w:t>, ponieważ nie powstaje nowy środek trwały, a jedynie naprawiane są istniejące elementy infrastruktury.</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Na zakończenie podkreślił, że choć granica między remontem a modernizacją bywa trudna do jednoznacznego określenia, to każdorazowo decyzje w tym zakresie podejmowane są na podstawie dokumentacji technicznej i obowiązujących przepisów rachunkowości budżetowej.</w:t>
      </w:r>
    </w:p>
    <w:p>
      <w:pPr>
        <w:pStyle w:val="Normal"/>
        <w:spacing w:lineRule="auto" w:line="276"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b) W trakcie dalszej części dyskusji głos zabrał radny </w:t>
      </w:r>
      <w:r>
        <w:rPr>
          <w:rFonts w:eastAsia="Times New Roman" w:cs="Times New Roman" w:ascii="Times New Roman" w:hAnsi="Times New Roman"/>
          <w:b/>
          <w:bCs/>
          <w:sz w:val="24"/>
          <w:szCs w:val="24"/>
          <w:lang w:eastAsia="pl-PL"/>
        </w:rPr>
        <w:t>Konrad Dominiak</w:t>
      </w:r>
      <w:r>
        <w:rPr>
          <w:rFonts w:eastAsia="Times New Roman" w:cs="Times New Roman" w:ascii="Times New Roman" w:hAnsi="Times New Roman"/>
          <w:sz w:val="24"/>
          <w:szCs w:val="24"/>
          <w:lang w:eastAsia="pl-PL"/>
        </w:rPr>
        <w:t xml:space="preserve">, który zwrócił uwagę na zapisy dotyczące </w:t>
      </w:r>
      <w:r>
        <w:rPr>
          <w:rFonts w:eastAsia="Times New Roman" w:cs="Times New Roman" w:ascii="Times New Roman" w:hAnsi="Times New Roman"/>
          <w:b/>
          <w:bCs/>
          <w:sz w:val="24"/>
          <w:szCs w:val="24"/>
          <w:lang w:eastAsia="pl-PL"/>
        </w:rPr>
        <w:t>zmiany charakteru umów w dziale „kultura”</w:t>
      </w:r>
      <w:r>
        <w:rPr>
          <w:rFonts w:eastAsia="Times New Roman" w:cs="Times New Roman" w:ascii="Times New Roman" w:hAnsi="Times New Roman"/>
          <w:sz w:val="24"/>
          <w:szCs w:val="24"/>
          <w:lang w:eastAsia="pl-PL"/>
        </w:rPr>
        <w:t xml:space="preserve"> i zapytał:</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t>
      </w:r>
      <w:r>
        <w:rPr>
          <w:rFonts w:eastAsia="Times New Roman" w:cs="Times New Roman" w:ascii="Times New Roman" w:hAnsi="Times New Roman"/>
          <w:b/>
          <w:bCs/>
          <w:sz w:val="24"/>
          <w:szCs w:val="24"/>
          <w:lang w:eastAsia="pl-PL"/>
        </w:rPr>
        <w:t>W materiałach pojawiła się informacja o zmianie charakteru umów w kontekście wydatków na wydarzenia miejskie – czego dokładnie dotyczy ta zmiana? Czy chodzi o inne formy zakupu usług, czy może np. koncepcje lub obsługę techniczną wydarzeń?”</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Na pytanie odpowiedzieli wspólnie </w:t>
      </w:r>
      <w:r>
        <w:rPr>
          <w:rFonts w:eastAsia="Times New Roman" w:cs="Times New Roman" w:ascii="Times New Roman" w:hAnsi="Times New Roman"/>
          <w:b/>
          <w:bCs/>
          <w:sz w:val="24"/>
          <w:szCs w:val="24"/>
          <w:lang w:eastAsia="pl-PL"/>
        </w:rPr>
        <w:t>Pani Burmistrz Małgorzata Machalska</w:t>
      </w:r>
      <w:r>
        <w:rPr>
          <w:rFonts w:eastAsia="Times New Roman" w:cs="Times New Roman" w:ascii="Times New Roman" w:hAnsi="Times New Roman"/>
          <w:sz w:val="24"/>
          <w:szCs w:val="24"/>
          <w:lang w:eastAsia="pl-PL"/>
        </w:rPr>
        <w:t xml:space="preserve"> oraz </w:t>
      </w:r>
      <w:r>
        <w:rPr>
          <w:rFonts w:eastAsia="Times New Roman" w:cs="Times New Roman" w:ascii="Times New Roman" w:hAnsi="Times New Roman"/>
          <w:b/>
          <w:bCs/>
          <w:sz w:val="24"/>
          <w:szCs w:val="24"/>
          <w:lang w:eastAsia="pl-PL"/>
        </w:rPr>
        <w:t>Skarbnik Miasta Mirosław Stromczyński</w:t>
      </w:r>
      <w:r>
        <w:rPr>
          <w:rFonts w:eastAsia="Times New Roman" w:cs="Times New Roman" w:ascii="Times New Roman" w:hAnsi="Times New Roman"/>
          <w:sz w:val="24"/>
          <w:szCs w:val="24"/>
          <w:lang w:eastAsia="pl-PL"/>
        </w:rPr>
        <w:t>.</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Wyjaśniono, że zmiana ta dotyczy sytuacji, w której pierwotnie planowano zawarcie jednej zbiorczej umowy – na przykład z agencją lub firmą reprezentującą grupę artystów. W trakcie przygotowań do realizacji zadania, wykonawcy (artyści) zwrócili się z prośbą o możliwość podpisania </w:t>
      </w:r>
      <w:r>
        <w:rPr>
          <w:rFonts w:eastAsia="Times New Roman" w:cs="Times New Roman" w:ascii="Times New Roman" w:hAnsi="Times New Roman"/>
          <w:b/>
          <w:bCs/>
          <w:sz w:val="24"/>
          <w:szCs w:val="24"/>
          <w:lang w:eastAsia="pl-PL"/>
        </w:rPr>
        <w:t>indywidualnych umów</w:t>
      </w:r>
      <w:r>
        <w:rPr>
          <w:rFonts w:eastAsia="Times New Roman" w:cs="Times New Roman" w:ascii="Times New Roman" w:hAnsi="Times New Roman"/>
          <w:sz w:val="24"/>
          <w:szCs w:val="24"/>
          <w:lang w:eastAsia="pl-PL"/>
        </w:rPr>
        <w:t xml:space="preserve">, takich jak umowy </w:t>
        <w:br/>
        <w:t>o dzieło, z poszczególnymi osobami wchodzącymi w skład zespołu.</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związku z tym, że zmienił się sposób formalnego zawarcia współpracy – </w:t>
      </w:r>
      <w:r>
        <w:rPr>
          <w:rFonts w:eastAsia="Times New Roman" w:cs="Times New Roman" w:ascii="Times New Roman" w:hAnsi="Times New Roman"/>
          <w:b/>
          <w:bCs/>
          <w:sz w:val="24"/>
          <w:szCs w:val="24"/>
          <w:lang w:eastAsia="pl-PL"/>
        </w:rPr>
        <w:t>z jednej umowy z podmiotem zewnętrznym na kilka umów z osobami fizycznymi</w:t>
      </w:r>
      <w:r>
        <w:rPr>
          <w:rFonts w:eastAsia="Times New Roman" w:cs="Times New Roman" w:ascii="Times New Roman" w:hAnsi="Times New Roman"/>
          <w:sz w:val="24"/>
          <w:szCs w:val="24"/>
          <w:lang w:eastAsia="pl-PL"/>
        </w:rPr>
        <w:t xml:space="preserve"> – konieczne było dokonanie </w:t>
      </w:r>
      <w:r>
        <w:rPr>
          <w:rFonts w:eastAsia="Times New Roman" w:cs="Times New Roman" w:ascii="Times New Roman" w:hAnsi="Times New Roman"/>
          <w:b/>
          <w:bCs/>
          <w:sz w:val="24"/>
          <w:szCs w:val="24"/>
          <w:lang w:eastAsia="pl-PL"/>
        </w:rPr>
        <w:t>technicznej korekty w klasyfikacji budżetowej wydatków</w:t>
      </w:r>
      <w:r>
        <w:rPr>
          <w:rFonts w:eastAsia="Times New Roman" w:cs="Times New Roman" w:ascii="Times New Roman" w:hAnsi="Times New Roman"/>
          <w:sz w:val="24"/>
          <w:szCs w:val="24"/>
          <w:lang w:eastAsia="pl-PL"/>
        </w:rPr>
        <w:t>.</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Podkreślono, że zakres merytoryczny zadania pozostał bez zmian – wydarzenie jest realizowane zgodnie z planem, natomiast forma zawieranych umów została dostosowana do rzeczywistych okoliczności współpracy z wykonawcami. Zmiana ta ma charakter porządkowy i umożliwia prawidłowe ujęcie wydatków w budżecie miasta zgodnie z obowiązującą klasyfikacją.</w:t>
      </w:r>
    </w:p>
    <w:p>
      <w:pPr>
        <w:pStyle w:val="Normal"/>
        <w:spacing w:lineRule="auto" w:line="240"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c) Kolejne pytanie w ramach dyskusji zadał radny </w:t>
      </w:r>
      <w:r>
        <w:rPr>
          <w:rFonts w:eastAsia="Times New Roman" w:cs="Times New Roman" w:ascii="Times New Roman" w:hAnsi="Times New Roman"/>
          <w:b/>
          <w:bCs/>
          <w:sz w:val="24"/>
          <w:szCs w:val="24"/>
          <w:lang w:eastAsia="pl-PL"/>
        </w:rPr>
        <w:t>Maciej Różański</w:t>
      </w:r>
      <w:r>
        <w:rPr>
          <w:rFonts w:eastAsia="Times New Roman" w:cs="Times New Roman" w:ascii="Times New Roman" w:hAnsi="Times New Roman"/>
          <w:sz w:val="24"/>
          <w:szCs w:val="24"/>
          <w:lang w:eastAsia="pl-PL"/>
        </w:rPr>
        <w:t xml:space="preserve">, nawiązując do wcześniejszych zapisów budżetowych dotyczących inwestycji związanej z </w:t>
      </w:r>
      <w:r>
        <w:rPr>
          <w:rFonts w:eastAsia="Times New Roman" w:cs="Times New Roman" w:ascii="Times New Roman" w:hAnsi="Times New Roman"/>
          <w:b/>
          <w:bCs/>
          <w:sz w:val="24"/>
          <w:szCs w:val="24"/>
          <w:lang w:eastAsia="pl-PL"/>
        </w:rPr>
        <w:t>ulicą Buczka</w:t>
      </w:r>
      <w:r>
        <w:rPr>
          <w:rFonts w:eastAsia="Times New Roman" w:cs="Times New Roman" w:ascii="Times New Roman" w:hAnsi="Times New Roman"/>
          <w:sz w:val="24"/>
          <w:szCs w:val="24"/>
          <w:lang w:eastAsia="pl-PL"/>
        </w:rPr>
        <w:t xml:space="preserve">. Radny przypomniał, że podczas sesji budżetowej w grudniu 2024 roku omawiano </w:t>
      </w:r>
      <w:r>
        <w:rPr>
          <w:rFonts w:eastAsia="Times New Roman" w:cs="Times New Roman" w:ascii="Times New Roman" w:hAnsi="Times New Roman"/>
          <w:b/>
          <w:bCs/>
          <w:sz w:val="24"/>
          <w:szCs w:val="24"/>
          <w:lang w:eastAsia="pl-PL"/>
        </w:rPr>
        <w:t>przesunięcie znacznych środków finansowych z roku 2024 na rok 2025</w:t>
      </w:r>
      <w:r>
        <w:rPr>
          <w:rFonts w:eastAsia="Times New Roman" w:cs="Times New Roman" w:ascii="Times New Roman" w:hAnsi="Times New Roman"/>
          <w:sz w:val="24"/>
          <w:szCs w:val="24"/>
          <w:lang w:eastAsia="pl-PL"/>
        </w:rPr>
        <w:t xml:space="preserve">, ponieważ – jak wówczas informowano – wykonawca zakończył prace zgodnie </w:t>
        <w:br/>
        <w:t>z umową, lecz nie złożył faktury w terminie. W związku z tym radny zapytał:</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t>
      </w:r>
      <w:r>
        <w:rPr>
          <w:rFonts w:eastAsia="Times New Roman" w:cs="Times New Roman" w:ascii="Times New Roman" w:hAnsi="Times New Roman"/>
          <w:b/>
          <w:bCs/>
          <w:sz w:val="24"/>
          <w:szCs w:val="24"/>
          <w:lang w:eastAsia="pl-PL"/>
        </w:rPr>
        <w:t>Jak to się ma do obecnej informacji o nałożeniu kar umownych na wykonawcę? Skoro mówiono wcześniej, że wszystko zostało wykonane w terminie – to z czego wynikają te kary?”</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Na to pytanie odpowiedział </w:t>
      </w:r>
      <w:r>
        <w:rPr>
          <w:rFonts w:eastAsia="Times New Roman" w:cs="Times New Roman" w:ascii="Times New Roman" w:hAnsi="Times New Roman"/>
          <w:b/>
          <w:bCs/>
          <w:sz w:val="24"/>
          <w:szCs w:val="24"/>
          <w:lang w:eastAsia="pl-PL"/>
        </w:rPr>
        <w:t>Skarbnik Miasta Mirosław Stromczyński</w:t>
      </w:r>
      <w:r>
        <w:rPr>
          <w:rFonts w:eastAsia="Times New Roman" w:cs="Times New Roman" w:ascii="Times New Roman" w:hAnsi="Times New Roman"/>
          <w:sz w:val="24"/>
          <w:szCs w:val="24"/>
          <w:lang w:eastAsia="pl-PL"/>
        </w:rPr>
        <w:t xml:space="preserve">, który wskazał, że niekiedy wystarczający jest </w:t>
      </w:r>
      <w:r>
        <w:rPr>
          <w:rFonts w:eastAsia="Times New Roman" w:cs="Times New Roman" w:ascii="Times New Roman" w:hAnsi="Times New Roman"/>
          <w:b/>
          <w:bCs/>
          <w:sz w:val="24"/>
          <w:szCs w:val="24"/>
          <w:lang w:eastAsia="pl-PL"/>
        </w:rPr>
        <w:t>drobny brak formalny</w:t>
      </w:r>
      <w:r>
        <w:rPr>
          <w:rFonts w:eastAsia="Times New Roman" w:cs="Times New Roman" w:ascii="Times New Roman" w:hAnsi="Times New Roman"/>
          <w:sz w:val="24"/>
          <w:szCs w:val="24"/>
          <w:lang w:eastAsia="pl-PL"/>
        </w:rPr>
        <w:t xml:space="preserve">, aby naliczenie kary umownej było zasadne. W tym przypadku – jak doprecyzowała </w:t>
      </w:r>
      <w:r>
        <w:rPr>
          <w:rFonts w:eastAsia="Times New Roman" w:cs="Times New Roman" w:ascii="Times New Roman" w:hAnsi="Times New Roman"/>
          <w:b/>
          <w:bCs/>
          <w:sz w:val="24"/>
          <w:szCs w:val="24"/>
          <w:lang w:eastAsia="pl-PL"/>
        </w:rPr>
        <w:t>Monika Nawrot</w:t>
      </w:r>
      <w:r>
        <w:rPr>
          <w:rFonts w:eastAsia="Times New Roman" w:cs="Times New Roman" w:ascii="Times New Roman" w:hAnsi="Times New Roman"/>
          <w:sz w:val="24"/>
          <w:szCs w:val="24"/>
          <w:lang w:eastAsia="pl-PL"/>
        </w:rPr>
        <w:t xml:space="preserve"> – chodziło o </w:t>
      </w:r>
      <w:r>
        <w:rPr>
          <w:rFonts w:eastAsia="Times New Roman" w:cs="Times New Roman" w:ascii="Times New Roman" w:hAnsi="Times New Roman"/>
          <w:b/>
          <w:bCs/>
          <w:sz w:val="24"/>
          <w:szCs w:val="24"/>
          <w:lang w:eastAsia="pl-PL"/>
        </w:rPr>
        <w:t>nieprzedstawienie wymaganej listy pracowników</w:t>
      </w:r>
      <w:r>
        <w:rPr>
          <w:rFonts w:eastAsia="Times New Roman" w:cs="Times New Roman" w:ascii="Times New Roman" w:hAnsi="Times New Roman"/>
          <w:sz w:val="24"/>
          <w:szCs w:val="24"/>
          <w:lang w:eastAsia="pl-PL"/>
        </w:rPr>
        <w:t>, co było elementem umownych obowiązków wykonawcy.</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Skarbnik potwierdził, że jest to </w:t>
      </w:r>
      <w:r>
        <w:rPr>
          <w:rFonts w:eastAsia="Times New Roman" w:cs="Times New Roman" w:ascii="Times New Roman" w:hAnsi="Times New Roman"/>
          <w:b/>
          <w:bCs/>
          <w:sz w:val="24"/>
          <w:szCs w:val="24"/>
          <w:lang w:eastAsia="pl-PL"/>
        </w:rPr>
        <w:t>niedopatrzenie o charakterze formalnym</w:t>
      </w:r>
      <w:r>
        <w:rPr>
          <w:rFonts w:eastAsia="Times New Roman" w:cs="Times New Roman" w:ascii="Times New Roman" w:hAnsi="Times New Roman"/>
          <w:sz w:val="24"/>
          <w:szCs w:val="24"/>
          <w:lang w:eastAsia="pl-PL"/>
        </w:rPr>
        <w:t>, niezwiązane bezpośrednio z jakością czy terminowością wykonanych robót budowlanych.</w:t>
      </w:r>
    </w:p>
    <w:p>
      <w:pPr>
        <w:pStyle w:val="Normal"/>
        <w:spacing w:lineRule="auto" w:line="240"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Radny Maciej Różański kontynuował temat i zapytał:</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t>
      </w:r>
      <w:r>
        <w:rPr>
          <w:rFonts w:eastAsia="Times New Roman" w:cs="Times New Roman" w:ascii="Times New Roman" w:hAnsi="Times New Roman"/>
          <w:b/>
          <w:bCs/>
          <w:sz w:val="24"/>
          <w:szCs w:val="24"/>
          <w:lang w:eastAsia="pl-PL"/>
        </w:rPr>
        <w:t>Czy odbył się już odbiór częściowy tych fragmentów inwestycji, które były planowane do zakończenia w roku 2024?”</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Na to pytanie odpowiedzieli wspólnie </w:t>
      </w:r>
      <w:r>
        <w:rPr>
          <w:rFonts w:eastAsia="Times New Roman" w:cs="Times New Roman" w:ascii="Times New Roman" w:hAnsi="Times New Roman"/>
          <w:b/>
          <w:bCs/>
          <w:sz w:val="24"/>
          <w:szCs w:val="24"/>
          <w:lang w:eastAsia="pl-PL"/>
        </w:rPr>
        <w:t>Pani Burmistrz Małgorzata Machalska</w:t>
      </w:r>
      <w:r>
        <w:rPr>
          <w:rFonts w:eastAsia="Times New Roman" w:cs="Times New Roman" w:ascii="Times New Roman" w:hAnsi="Times New Roman"/>
          <w:sz w:val="24"/>
          <w:szCs w:val="24"/>
          <w:lang w:eastAsia="pl-PL"/>
        </w:rPr>
        <w:t xml:space="preserve"> oraz Skarbnik, potwierdzając, że </w:t>
      </w:r>
      <w:r>
        <w:rPr>
          <w:rFonts w:eastAsia="Times New Roman" w:cs="Times New Roman" w:ascii="Times New Roman" w:hAnsi="Times New Roman"/>
          <w:b/>
          <w:bCs/>
          <w:sz w:val="24"/>
          <w:szCs w:val="24"/>
          <w:lang w:eastAsia="pl-PL"/>
        </w:rPr>
        <w:t>częściowe odbiory zostały przeprowadzone</w:t>
      </w:r>
      <w:r>
        <w:rPr>
          <w:rFonts w:eastAsia="Times New Roman" w:cs="Times New Roman" w:ascii="Times New Roman" w:hAnsi="Times New Roman"/>
          <w:sz w:val="24"/>
          <w:szCs w:val="24"/>
          <w:lang w:eastAsia="pl-PL"/>
        </w:rPr>
        <w:t xml:space="preserve">, a płatności za te etapy zadania zostały już </w:t>
      </w:r>
      <w:r>
        <w:rPr>
          <w:rFonts w:eastAsia="Times New Roman" w:cs="Times New Roman" w:ascii="Times New Roman" w:hAnsi="Times New Roman"/>
          <w:b/>
          <w:bCs/>
          <w:sz w:val="24"/>
          <w:szCs w:val="24"/>
          <w:lang w:eastAsia="pl-PL"/>
        </w:rPr>
        <w:t>zrealizowane w roku 2025</w:t>
      </w:r>
      <w:r>
        <w:rPr>
          <w:rFonts w:eastAsia="Times New Roman" w:cs="Times New Roman" w:ascii="Times New Roman" w:hAnsi="Times New Roman"/>
          <w:sz w:val="24"/>
          <w:szCs w:val="24"/>
          <w:lang w:eastAsia="pl-PL"/>
        </w:rPr>
        <w:t xml:space="preserve">. Skarbnik dodał, że </w:t>
      </w:r>
      <w:r>
        <w:rPr>
          <w:rFonts w:eastAsia="Times New Roman" w:cs="Times New Roman" w:ascii="Times New Roman" w:hAnsi="Times New Roman"/>
          <w:b/>
          <w:bCs/>
          <w:sz w:val="24"/>
          <w:szCs w:val="24"/>
          <w:lang w:eastAsia="pl-PL"/>
        </w:rPr>
        <w:t>przesunięcie środków budżetowych na 2025 rok wynikało właśnie z niemożności dokonania płatności w roku ubiegłym</w:t>
      </w:r>
      <w:r>
        <w:rPr>
          <w:rFonts w:eastAsia="Times New Roman" w:cs="Times New Roman" w:ascii="Times New Roman" w:hAnsi="Times New Roman"/>
          <w:sz w:val="24"/>
          <w:szCs w:val="24"/>
          <w:lang w:eastAsia="pl-PL"/>
        </w:rPr>
        <w:t>, pomimo zakończenia części prac.</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Burmistrz podkreśliła, że zgodnie z procedurą, </w:t>
      </w:r>
      <w:r>
        <w:rPr>
          <w:rFonts w:eastAsia="Times New Roman" w:cs="Times New Roman" w:ascii="Times New Roman" w:hAnsi="Times New Roman"/>
          <w:b/>
          <w:bCs/>
          <w:sz w:val="24"/>
          <w:szCs w:val="24"/>
          <w:lang w:eastAsia="pl-PL"/>
        </w:rPr>
        <w:t>żadne płatności nie są możliwe bez wcześniejszego odbioru częściowego</w:t>
      </w:r>
      <w:r>
        <w:rPr>
          <w:rFonts w:eastAsia="Times New Roman" w:cs="Times New Roman" w:ascii="Times New Roman" w:hAnsi="Times New Roman"/>
          <w:sz w:val="24"/>
          <w:szCs w:val="24"/>
          <w:lang w:eastAsia="pl-PL"/>
        </w:rPr>
        <w:t xml:space="preserve">, co miało miejsce przed rozliczeniem </w:t>
        <w:br/>
        <w:t>w bieżącym roku budżetowym.</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dyskusji głos zabrała również radna </w:t>
      </w:r>
      <w:r>
        <w:rPr>
          <w:rFonts w:eastAsia="Times New Roman" w:cs="Times New Roman" w:ascii="Times New Roman" w:hAnsi="Times New Roman"/>
          <w:b/>
          <w:bCs/>
          <w:sz w:val="24"/>
          <w:szCs w:val="24"/>
          <w:lang w:eastAsia="pl-PL"/>
        </w:rPr>
        <w:t>Teresa Zygmanowska</w:t>
      </w:r>
      <w:r>
        <w:rPr>
          <w:rFonts w:eastAsia="Times New Roman" w:cs="Times New Roman" w:ascii="Times New Roman" w:hAnsi="Times New Roman"/>
          <w:sz w:val="24"/>
          <w:szCs w:val="24"/>
          <w:lang w:eastAsia="pl-PL"/>
        </w:rPr>
        <w:t xml:space="preserve">, która przypomniała, że kwestia ta była również poruszana podczas </w:t>
      </w:r>
      <w:r>
        <w:rPr>
          <w:rFonts w:eastAsia="Times New Roman" w:cs="Times New Roman" w:ascii="Times New Roman" w:hAnsi="Times New Roman"/>
          <w:b/>
          <w:bCs/>
          <w:sz w:val="24"/>
          <w:szCs w:val="24"/>
          <w:lang w:eastAsia="pl-PL"/>
        </w:rPr>
        <w:t>Komisji Rozwoju i Infrastruktury</w:t>
      </w:r>
      <w:r>
        <w:rPr>
          <w:rFonts w:eastAsia="Times New Roman" w:cs="Times New Roman" w:ascii="Times New Roman" w:hAnsi="Times New Roman"/>
          <w:sz w:val="24"/>
          <w:szCs w:val="24"/>
          <w:lang w:eastAsia="pl-PL"/>
        </w:rPr>
        <w:t xml:space="preserve">, gdzie pojawiły się pytania o tzw. „odsetki” – mylone z karami umownymi. Radna sprecyzowała, że kara nałożona na wykonawcę wyniosła </w:t>
      </w:r>
      <w:r>
        <w:rPr>
          <w:rFonts w:eastAsia="Times New Roman" w:cs="Times New Roman" w:ascii="Times New Roman" w:hAnsi="Times New Roman"/>
          <w:b/>
          <w:bCs/>
          <w:sz w:val="24"/>
          <w:szCs w:val="24"/>
          <w:lang w:eastAsia="pl-PL"/>
        </w:rPr>
        <w:t>27 000 zł</w:t>
      </w:r>
      <w:r>
        <w:rPr>
          <w:rFonts w:eastAsia="Times New Roman" w:cs="Times New Roman" w:ascii="Times New Roman" w:hAnsi="Times New Roman"/>
          <w:sz w:val="24"/>
          <w:szCs w:val="24"/>
          <w:lang w:eastAsia="pl-PL"/>
        </w:rPr>
        <w:t xml:space="preserve"> i dotyczyła braku spełnienia wymogu formalnego, tj. niewskazania listy zatrudnionych pracowników.</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Radny </w:t>
      </w:r>
      <w:r>
        <w:rPr>
          <w:rFonts w:eastAsia="Times New Roman" w:cs="Times New Roman" w:ascii="Times New Roman" w:hAnsi="Times New Roman"/>
          <w:b/>
          <w:bCs/>
          <w:sz w:val="24"/>
          <w:szCs w:val="24"/>
          <w:lang w:eastAsia="pl-PL"/>
        </w:rPr>
        <w:t>Konrad Dominiak</w:t>
      </w:r>
      <w:r>
        <w:rPr>
          <w:rFonts w:eastAsia="Times New Roman" w:cs="Times New Roman" w:ascii="Times New Roman" w:hAnsi="Times New Roman"/>
          <w:sz w:val="24"/>
          <w:szCs w:val="24"/>
          <w:lang w:eastAsia="pl-PL"/>
        </w:rPr>
        <w:t xml:space="preserve"> dodał, że mimo wspomnianych kwestii formalnych, </w:t>
      </w:r>
      <w:r>
        <w:rPr>
          <w:rFonts w:eastAsia="Times New Roman" w:cs="Times New Roman" w:ascii="Times New Roman" w:hAnsi="Times New Roman"/>
          <w:b/>
          <w:bCs/>
          <w:sz w:val="24"/>
          <w:szCs w:val="24"/>
          <w:lang w:eastAsia="pl-PL"/>
        </w:rPr>
        <w:t>prace na ul. Buczka postępują</w:t>
      </w:r>
      <w:r>
        <w:rPr>
          <w:rFonts w:eastAsia="Times New Roman" w:cs="Times New Roman" w:ascii="Times New Roman" w:hAnsi="Times New Roman"/>
          <w:sz w:val="24"/>
          <w:szCs w:val="24"/>
          <w:lang w:eastAsia="pl-PL"/>
        </w:rPr>
        <w:t>, co obserwuje regularnie podczas swoich wizyt w tej okolicy.</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Po zakończeniu dyskusji i udzieleniu odpowiedzi na wszystkie zgłoszone pytania, </w:t>
      </w:r>
      <w:r>
        <w:rPr>
          <w:rFonts w:eastAsia="Times New Roman" w:cs="Times New Roman" w:ascii="Times New Roman" w:hAnsi="Times New Roman"/>
          <w:b/>
          <w:bCs/>
          <w:sz w:val="24"/>
          <w:szCs w:val="24"/>
          <w:lang w:eastAsia="pl-PL"/>
        </w:rPr>
        <w:t>Komisja Budżetu i Finansów przystąpiła do głosowania</w:t>
      </w:r>
      <w:r>
        <w:rPr>
          <w:rFonts w:eastAsia="Times New Roman" w:cs="Times New Roman" w:ascii="Times New Roman" w:hAnsi="Times New Roman"/>
          <w:sz w:val="24"/>
          <w:szCs w:val="24"/>
          <w:lang w:eastAsia="pl-PL"/>
        </w:rPr>
        <w:t xml:space="preserve"> nad zaopiniowaniem projektu uchwały w sprawie zmiany uchwały budżetowej Miasta Luboń na rok 2025, wraz z uwzględnioną autopoprawką zgłoszoną przez Skarbnika Miasta.</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wyniku głosowania </w:t>
      </w:r>
      <w:r>
        <w:rPr>
          <w:rFonts w:eastAsia="Times New Roman" w:cs="Times New Roman" w:ascii="Times New Roman" w:hAnsi="Times New Roman"/>
          <w:b/>
          <w:bCs/>
          <w:sz w:val="24"/>
          <w:szCs w:val="24"/>
          <w:lang w:eastAsia="pl-PL"/>
        </w:rPr>
        <w:t xml:space="preserve">wszyscy obecni członkowie komisji opowiedzieli się </w:t>
        <w:br/>
        <w:t>za pozytywnym zaopiniowaniem projektu uchwały</w:t>
      </w:r>
      <w:r>
        <w:rPr>
          <w:rFonts w:eastAsia="Times New Roman" w:cs="Times New Roman" w:ascii="Times New Roman" w:hAnsi="Times New Roman"/>
          <w:sz w:val="24"/>
          <w:szCs w:val="24"/>
          <w:lang w:eastAsia="pl-PL"/>
        </w:rPr>
        <w:t xml:space="preserve"> – </w:t>
      </w:r>
      <w:r>
        <w:rPr>
          <w:rFonts w:eastAsia="Times New Roman" w:cs="Times New Roman" w:ascii="Times New Roman" w:hAnsi="Times New Roman"/>
          <w:b/>
          <w:bCs/>
          <w:sz w:val="24"/>
          <w:szCs w:val="24"/>
          <w:lang w:eastAsia="pl-PL"/>
        </w:rPr>
        <w:t>10 głosów „za”</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0 głosów „przeciw”</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0 głosów wstrzymujących się</w:t>
      </w:r>
      <w:r>
        <w:rPr>
          <w:rFonts w:eastAsia="Times New Roman" w:cs="Times New Roman" w:ascii="Times New Roman" w:hAnsi="Times New Roman"/>
          <w:sz w:val="24"/>
          <w:szCs w:val="24"/>
          <w:lang w:eastAsia="pl-PL"/>
        </w:rPr>
        <w:t>.</w:t>
      </w:r>
    </w:p>
    <w:p>
      <w:pPr>
        <w:pStyle w:val="Normal"/>
        <w:spacing w:lineRule="auto" w:line="240"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bCs/>
          <w:sz w:val="24"/>
          <w:szCs w:val="24"/>
          <w:lang w:eastAsia="pl-PL"/>
        </w:rPr>
        <w:t>Wynik głosowania: projekt uchwały został jednogłośnie zaopiniowany pozytywnie.</w:t>
      </w:r>
    </w:p>
    <w:p>
      <w:pPr>
        <w:pStyle w:val="Normal"/>
        <w:spacing w:beforeAutospacing="1" w:afterAutospacing="1"/>
        <w:ind w:left="708" w:hanging="0"/>
        <w:jc w:val="both"/>
        <w:rPr>
          <w:rStyle w:val="Strong"/>
          <w:rFonts w:ascii="Times New Roman" w:hAnsi="Times New Roman" w:cs="Times New Roman"/>
          <w:sz w:val="24"/>
          <w:szCs w:val="24"/>
          <w:u w:val="single"/>
        </w:rPr>
      </w:pPr>
      <w:r>
        <w:rPr>
          <w:rStyle w:val="Strong"/>
          <w:rFonts w:cs="Times New Roman" w:ascii="Times New Roman" w:hAnsi="Times New Roman"/>
          <w:sz w:val="24"/>
          <w:szCs w:val="24"/>
          <w:u w:val="single"/>
        </w:rPr>
        <w:t>12. Opiniowanie projektu uchwały zmieniającej uchwałę w sprawie Wieloletniej Prognozy Finansowej Miasta Luboń na lata 2025–2044</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kolejnym punkcie porządku obrad Komisji Budżetu i Finansów przystąpiono do rozpatrzenia projektu uchwały Rady Miasta Luboń w sprawie zmiany uchwały dotyczącej Wieloletniej Prognozy Finansowej (WPF) Miasta Luboń na lata 2025–2044.</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Projekt uchwały został pokrótce omówiony przez Skarbnika Miasta </w:t>
      </w:r>
      <w:r>
        <w:rPr>
          <w:rFonts w:eastAsia="Times New Roman" w:cs="Times New Roman" w:ascii="Times New Roman" w:hAnsi="Times New Roman"/>
          <w:b/>
          <w:bCs/>
          <w:sz w:val="24"/>
          <w:szCs w:val="24"/>
          <w:lang w:eastAsia="pl-PL"/>
        </w:rPr>
        <w:t>Mirosława Stromczyńskiego</w:t>
      </w:r>
      <w:r>
        <w:rPr>
          <w:rFonts w:eastAsia="Times New Roman" w:cs="Times New Roman" w:ascii="Times New Roman" w:hAnsi="Times New Roman"/>
          <w:sz w:val="24"/>
          <w:szCs w:val="24"/>
          <w:lang w:eastAsia="pl-PL"/>
        </w:rPr>
        <w:t xml:space="preserve">, który wyjaśnił, że wprowadzane zmiany w WPF mają charakter </w:t>
      </w:r>
      <w:r>
        <w:rPr>
          <w:rFonts w:eastAsia="Times New Roman" w:cs="Times New Roman" w:ascii="Times New Roman" w:hAnsi="Times New Roman"/>
          <w:b/>
          <w:bCs/>
          <w:sz w:val="24"/>
          <w:szCs w:val="24"/>
          <w:lang w:eastAsia="pl-PL"/>
        </w:rPr>
        <w:t>dostosowujący</w:t>
      </w:r>
      <w:r>
        <w:rPr>
          <w:rFonts w:eastAsia="Times New Roman" w:cs="Times New Roman" w:ascii="Times New Roman" w:hAnsi="Times New Roman"/>
          <w:sz w:val="24"/>
          <w:szCs w:val="24"/>
          <w:lang w:eastAsia="pl-PL"/>
        </w:rPr>
        <w:t xml:space="preserve"> i wynikają bezpośrednio ze zmian zawartych w równolegle procedowanej uchwale budżetowej na 2025 rok.</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Główną zmianą merytoryczną, jak zaznaczył Skarbnik, jest </w:t>
      </w:r>
      <w:r>
        <w:rPr>
          <w:rFonts w:eastAsia="Times New Roman" w:cs="Times New Roman" w:ascii="Times New Roman" w:hAnsi="Times New Roman"/>
          <w:b/>
          <w:bCs/>
          <w:sz w:val="24"/>
          <w:szCs w:val="24"/>
          <w:lang w:eastAsia="pl-PL"/>
        </w:rPr>
        <w:t xml:space="preserve">zmniejszenie o 21 000 zł nakładów na zadanie inwestycyjne dotyczące budowy ulicy Buczka wraz </w:t>
        <w:br/>
        <w:t>z odcinkiem ulicy Morelowej</w:t>
      </w:r>
      <w:r>
        <w:rPr>
          <w:rFonts w:eastAsia="Times New Roman" w:cs="Times New Roman" w:ascii="Times New Roman" w:hAnsi="Times New Roman"/>
          <w:sz w:val="24"/>
          <w:szCs w:val="24"/>
          <w:lang w:eastAsia="pl-PL"/>
        </w:rPr>
        <w:t xml:space="preserve">, co wynika z korekty dotacji w związku z naliczeniem kary umownej wobec wykonawcy. Korekta ta została odzwierciedlona w </w:t>
      </w:r>
      <w:r>
        <w:rPr>
          <w:rFonts w:eastAsia="Times New Roman" w:cs="Times New Roman" w:ascii="Times New Roman" w:hAnsi="Times New Roman"/>
          <w:b/>
          <w:bCs/>
          <w:sz w:val="24"/>
          <w:szCs w:val="24"/>
          <w:lang w:eastAsia="pl-PL"/>
        </w:rPr>
        <w:t>załączniku nr 2</w:t>
      </w:r>
      <w:r>
        <w:rPr>
          <w:rFonts w:eastAsia="Times New Roman" w:cs="Times New Roman" w:ascii="Times New Roman" w:hAnsi="Times New Roman"/>
          <w:sz w:val="24"/>
          <w:szCs w:val="24"/>
          <w:lang w:eastAsia="pl-PL"/>
        </w:rPr>
        <w:t xml:space="preserve"> do uchwały WPF.</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Dodatkowo Skarbnik poinformował, że projekt zawiera również </w:t>
      </w:r>
      <w:r>
        <w:rPr>
          <w:rFonts w:eastAsia="Times New Roman" w:cs="Times New Roman" w:ascii="Times New Roman" w:hAnsi="Times New Roman"/>
          <w:b/>
          <w:bCs/>
          <w:sz w:val="24"/>
          <w:szCs w:val="24"/>
          <w:lang w:eastAsia="pl-PL"/>
        </w:rPr>
        <w:t>dostosowanie wartości dochodów, wydatków, przychodów i rozchodów</w:t>
      </w:r>
      <w:r>
        <w:rPr>
          <w:rFonts w:eastAsia="Times New Roman" w:cs="Times New Roman" w:ascii="Times New Roman" w:hAnsi="Times New Roman"/>
          <w:sz w:val="24"/>
          <w:szCs w:val="24"/>
          <w:lang w:eastAsia="pl-PL"/>
        </w:rPr>
        <w:t xml:space="preserve"> do nowych kwot ujętych w zaktualizowanej uchwale budżetowej, w tym w zakresie dochodów i wydatków bieżących oraz majątkowych.</w:t>
      </w:r>
    </w:p>
    <w:p>
      <w:pPr>
        <w:pStyle w:val="Normal"/>
        <w:numPr>
          <w:ilvl w:val="0"/>
          <w:numId w:val="0"/>
        </w:numPr>
        <w:spacing w:lineRule="auto" w:line="240" w:beforeAutospacing="1" w:afterAutospacing="1"/>
        <w:ind w:firstLine="708"/>
        <w:jc w:val="both"/>
        <w:outlineLvl w:val="2"/>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t>Autopoprawka zgłoszona przez Skarbnika</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Na zakończenie wystąpienia Skarbnik zgłosił autopoprawkę do projektu uchwały WPF. Zmiana dotyczy </w:t>
      </w:r>
      <w:r>
        <w:rPr>
          <w:rFonts w:eastAsia="Times New Roman" w:cs="Times New Roman" w:ascii="Times New Roman" w:hAnsi="Times New Roman"/>
          <w:b/>
          <w:bCs/>
          <w:sz w:val="24"/>
          <w:szCs w:val="24"/>
          <w:lang w:eastAsia="pl-PL"/>
        </w:rPr>
        <w:t>zwiększenia dochodów i wydatków ogółem o kwotę 1 100 zł</w:t>
      </w:r>
      <w:r>
        <w:rPr>
          <w:rFonts w:eastAsia="Times New Roman" w:cs="Times New Roman" w:ascii="Times New Roman" w:hAnsi="Times New Roman"/>
          <w:sz w:val="24"/>
          <w:szCs w:val="24"/>
          <w:lang w:eastAsia="pl-PL"/>
        </w:rPr>
        <w:t>, wynikającą z wprowadzenia do budżetu wpływów z tytułu zwrotu nienależnie pobranych świadczeń rodzinnych (ujętych wcześniej w autopoprawce do uchwały budżetowej).</w:t>
      </w:r>
    </w:p>
    <w:p>
      <w:pPr>
        <w:pStyle w:val="Normal"/>
        <w:spacing w:lineRule="auto" w:line="240"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związku z tym zaktualizowane zostały także kwoty:</w:t>
      </w:r>
    </w:p>
    <w:p>
      <w:pPr>
        <w:pStyle w:val="Normal"/>
        <w:numPr>
          <w:ilvl w:val="0"/>
          <w:numId w:val="15"/>
        </w:numPr>
        <w:spacing w:lineRule="auto" w:line="240"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dochodów bieżących,</w:t>
      </w:r>
    </w:p>
    <w:p>
      <w:pPr>
        <w:pStyle w:val="Normal"/>
        <w:numPr>
          <w:ilvl w:val="0"/>
          <w:numId w:val="15"/>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wydatków bieżących,</w:t>
      </w:r>
    </w:p>
    <w:p>
      <w:pPr>
        <w:pStyle w:val="Normal"/>
        <w:numPr>
          <w:ilvl w:val="0"/>
          <w:numId w:val="15"/>
        </w:numPr>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dochodów ogółem,</w:t>
      </w:r>
    </w:p>
    <w:p>
      <w:pPr>
        <w:pStyle w:val="Normal"/>
        <w:numPr>
          <w:ilvl w:val="0"/>
          <w:numId w:val="15"/>
        </w:numPr>
        <w:spacing w:lineRule="auto" w:line="240"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wydatków ogółem.</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Skarbnik zadeklarował przekazanie szczegółowej rozpiski tych zmian radnym w formie pomocniczej.</w:t>
      </w:r>
    </w:p>
    <w:p>
      <w:pPr>
        <w:pStyle w:val="Normal"/>
        <w:ind w:firstLine="708"/>
        <w:jc w:val="both"/>
        <w:rPr>
          <w:rFonts w:ascii="Times New Roman" w:hAnsi="Times New Roman" w:eastAsia="Times New Roman" w:cs="Times New Roman"/>
          <w:b/>
          <w:sz w:val="24"/>
          <w:szCs w:val="24"/>
          <w:lang w:eastAsia="pl-PL"/>
        </w:rPr>
      </w:pPr>
      <w:r>
        <w:rPr>
          <w:rFonts w:eastAsia="Times New Roman" w:cs="Times New Roman" w:ascii="Times New Roman" w:hAnsi="Times New Roman"/>
          <w:b/>
          <w:sz w:val="24"/>
          <w:szCs w:val="24"/>
          <w:lang w:eastAsia="pl-PL"/>
        </w:rPr>
        <w:t>Informacja uzupełniająca – kluczowe dane z WPF na 2025 rok</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celu zapewnienia kompletności dokumentacji komisji, po wystąpieniu Skarbnika do protokołu wprowadzono uzupełniające informacje pochodzące z </w:t>
      </w:r>
      <w:r>
        <w:rPr>
          <w:rFonts w:eastAsia="Times New Roman" w:cs="Times New Roman" w:ascii="Times New Roman" w:hAnsi="Times New Roman"/>
          <w:b/>
          <w:bCs/>
          <w:sz w:val="24"/>
          <w:szCs w:val="24"/>
          <w:lang w:eastAsia="pl-PL"/>
        </w:rPr>
        <w:t>załącznika nr 1 do projektu uchwały</w:t>
      </w:r>
      <w:r>
        <w:rPr>
          <w:rFonts w:eastAsia="Times New Roman" w:cs="Times New Roman" w:ascii="Times New Roman" w:hAnsi="Times New Roman"/>
          <w:sz w:val="24"/>
          <w:szCs w:val="24"/>
          <w:lang w:eastAsia="pl-PL"/>
        </w:rPr>
        <w:t xml:space="preserve">, przedstawiające kluczowe parametry Wieloletniej Prognozy Finansowej Miasta Luboń na rok </w:t>
      </w:r>
      <w:r>
        <w:rPr>
          <w:rFonts w:eastAsia="Times New Roman" w:cs="Times New Roman" w:ascii="Times New Roman" w:hAnsi="Times New Roman"/>
          <w:b/>
          <w:bCs/>
          <w:sz w:val="24"/>
          <w:szCs w:val="24"/>
          <w:lang w:eastAsia="pl-PL"/>
        </w:rPr>
        <w:t>2025</w:t>
      </w:r>
      <w:r>
        <w:rPr>
          <w:rFonts w:eastAsia="Times New Roman" w:cs="Times New Roman" w:ascii="Times New Roman" w:hAnsi="Times New Roman"/>
          <w:sz w:val="24"/>
          <w:szCs w:val="24"/>
          <w:lang w:eastAsia="pl-PL"/>
        </w:rPr>
        <w:t>, po wprowadzeniu zgłoszonej autopoprawki:</w:t>
      </w:r>
    </w:p>
    <w:p>
      <w:pPr>
        <w:pStyle w:val="Normal"/>
        <w:numPr>
          <w:ilvl w:val="0"/>
          <w:numId w:val="16"/>
        </w:numPr>
        <w:spacing w:lineRule="auto" w:line="240" w:beforeAutospacing="1"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Dochody ogółem</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216 056 173,41 zł</w:t>
      </w:r>
      <w:r>
        <w:rPr>
          <w:rFonts w:eastAsia="Times New Roman" w:cs="Times New Roman" w:ascii="Times New Roman" w:hAnsi="Times New Roman"/>
          <w:sz w:val="24"/>
          <w:szCs w:val="24"/>
          <w:lang w:eastAsia="pl-PL"/>
        </w:rPr>
        <w:t>,</w:t>
        <w:br/>
        <w:t>w tym:</w:t>
      </w:r>
    </w:p>
    <w:p>
      <w:pPr>
        <w:pStyle w:val="Normal"/>
        <w:numPr>
          <w:ilvl w:val="1"/>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dochody bieżące</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205 224 290,52 zł</w:t>
      </w:r>
      <w:r>
        <w:rPr>
          <w:rFonts w:eastAsia="Times New Roman" w:cs="Times New Roman" w:ascii="Times New Roman" w:hAnsi="Times New Roman"/>
          <w:sz w:val="24"/>
          <w:szCs w:val="24"/>
          <w:lang w:eastAsia="pl-PL"/>
        </w:rPr>
        <w:t>,</w:t>
      </w:r>
    </w:p>
    <w:p>
      <w:pPr>
        <w:pStyle w:val="Normal"/>
        <w:numPr>
          <w:ilvl w:val="1"/>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dochody majątkowe</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10 831 882,89 zł</w:t>
      </w:r>
    </w:p>
    <w:p>
      <w:pPr>
        <w:pStyle w:val="Normal"/>
        <w:numPr>
          <w:ilvl w:val="0"/>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Wydatki ogółem</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234 764 100,25 zł</w:t>
      </w:r>
      <w:r>
        <w:rPr>
          <w:rFonts w:eastAsia="Times New Roman" w:cs="Times New Roman" w:ascii="Times New Roman" w:hAnsi="Times New Roman"/>
          <w:sz w:val="24"/>
          <w:szCs w:val="24"/>
          <w:lang w:eastAsia="pl-PL"/>
        </w:rPr>
        <w:t>,</w:t>
        <w:br/>
        <w:t>w tym:</w:t>
      </w:r>
    </w:p>
    <w:p>
      <w:pPr>
        <w:pStyle w:val="Normal"/>
        <w:numPr>
          <w:ilvl w:val="1"/>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wydatki bieżące</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191 034 306,87 zł</w:t>
      </w:r>
      <w:r>
        <w:rPr>
          <w:rFonts w:eastAsia="Times New Roman" w:cs="Times New Roman" w:ascii="Times New Roman" w:hAnsi="Times New Roman"/>
          <w:sz w:val="24"/>
          <w:szCs w:val="24"/>
          <w:lang w:eastAsia="pl-PL"/>
        </w:rPr>
        <w:t>,</w:t>
      </w:r>
    </w:p>
    <w:p>
      <w:pPr>
        <w:pStyle w:val="Normal"/>
        <w:numPr>
          <w:ilvl w:val="1"/>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wydatki majątkowe</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43 729 793,38 zł</w:t>
      </w:r>
    </w:p>
    <w:p>
      <w:pPr>
        <w:pStyle w:val="Normal"/>
        <w:numPr>
          <w:ilvl w:val="0"/>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Deficyt budżetu</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–18 707 926,84 zł</w:t>
      </w:r>
    </w:p>
    <w:p>
      <w:pPr>
        <w:pStyle w:val="Normal"/>
        <w:numPr>
          <w:ilvl w:val="0"/>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Planowane przychody</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26 898 103,77 zł</w:t>
      </w:r>
      <w:r>
        <w:rPr>
          <w:rFonts w:eastAsia="Times New Roman" w:cs="Times New Roman" w:ascii="Times New Roman" w:hAnsi="Times New Roman"/>
          <w:sz w:val="24"/>
          <w:szCs w:val="24"/>
          <w:lang w:eastAsia="pl-PL"/>
        </w:rPr>
        <w:t>,</w:t>
        <w:br/>
        <w:t>w tym m.in.:</w:t>
      </w:r>
    </w:p>
    <w:p>
      <w:pPr>
        <w:pStyle w:val="Normal"/>
        <w:numPr>
          <w:ilvl w:val="1"/>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kredyty i pożyczki</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19 517 531,96 zł</w:t>
      </w:r>
      <w:r>
        <w:rPr>
          <w:rFonts w:eastAsia="Times New Roman" w:cs="Times New Roman" w:ascii="Times New Roman" w:hAnsi="Times New Roman"/>
          <w:sz w:val="24"/>
          <w:szCs w:val="24"/>
          <w:lang w:eastAsia="pl-PL"/>
        </w:rPr>
        <w:t>,</w:t>
      </w:r>
    </w:p>
    <w:p>
      <w:pPr>
        <w:pStyle w:val="Normal"/>
        <w:numPr>
          <w:ilvl w:val="1"/>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wolne środki z lat ubiegłych</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525 797,32 zł</w:t>
      </w:r>
      <w:r>
        <w:rPr>
          <w:rFonts w:eastAsia="Times New Roman" w:cs="Times New Roman" w:ascii="Times New Roman" w:hAnsi="Times New Roman"/>
          <w:sz w:val="24"/>
          <w:szCs w:val="24"/>
          <w:lang w:eastAsia="pl-PL"/>
        </w:rPr>
        <w:t>,</w:t>
      </w:r>
    </w:p>
    <w:p>
      <w:pPr>
        <w:pStyle w:val="Normal"/>
        <w:numPr>
          <w:ilvl w:val="1"/>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spłaty udzielonych pożyczek</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6 687 342,00 zł</w:t>
      </w:r>
    </w:p>
    <w:p>
      <w:pPr>
        <w:pStyle w:val="Normal"/>
        <w:numPr>
          <w:ilvl w:val="0"/>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Rozchody budżetu (spłaty zobowiązań)</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8 190 176,93 zł</w:t>
      </w:r>
    </w:p>
    <w:p>
      <w:pPr>
        <w:pStyle w:val="Normal"/>
        <w:numPr>
          <w:ilvl w:val="0"/>
          <w:numId w:val="16"/>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Planowana kwota długu Miasta na koniec 2025 roku</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80 150 863,48 zł</w:t>
      </w:r>
    </w:p>
    <w:p>
      <w:pPr>
        <w:pStyle w:val="Normal"/>
        <w:numPr>
          <w:ilvl w:val="0"/>
          <w:numId w:val="16"/>
        </w:numPr>
        <w:spacing w:lineRule="auto" w:line="240" w:before="0"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Różnica między dochodami a wydatkami bieżącymi (nadwyżka operacyjna)</w:t>
      </w:r>
      <w:r>
        <w:rPr>
          <w:rFonts w:eastAsia="Times New Roman" w:cs="Times New Roman" w:ascii="Times New Roman" w:hAnsi="Times New Roman"/>
          <w:sz w:val="24"/>
          <w:szCs w:val="24"/>
          <w:lang w:eastAsia="pl-PL"/>
        </w:rPr>
        <w:t>:</w:t>
        <w:br/>
      </w:r>
      <w:r>
        <w:rPr>
          <w:rFonts w:eastAsia="Times New Roman" w:cs="Times New Roman" w:ascii="Times New Roman" w:hAnsi="Times New Roman"/>
          <w:b/>
          <w:bCs/>
          <w:sz w:val="24"/>
          <w:szCs w:val="24"/>
          <w:lang w:eastAsia="pl-PL"/>
        </w:rPr>
        <w:t>+14 189 983,65 zł</w:t>
      </w:r>
      <w:r>
        <w:rPr>
          <w:rFonts w:eastAsia="Times New Roman" w:cs="Times New Roman" w:ascii="Times New Roman" w:hAnsi="Times New Roman"/>
          <w:sz w:val="24"/>
          <w:szCs w:val="24"/>
          <w:lang w:eastAsia="pl-PL"/>
        </w:rPr>
        <w:t>, co potwierdza spełnienie reguły zrównoważenia budżetu bieżącego, zgodnie z art. 242 ustawy o finansach publicznych.</w:t>
      </w:r>
    </w:p>
    <w:p>
      <w:pPr>
        <w:pStyle w:val="Normal"/>
        <w:numPr>
          <w:ilvl w:val="0"/>
          <w:numId w:val="0"/>
        </w:numPr>
        <w:spacing w:lineRule="auto" w:line="240" w:beforeAutospacing="1" w:afterAutospacing="1"/>
        <w:ind w:firstLine="708"/>
        <w:outlineLvl w:val="2"/>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t>Głosowanie</w:t>
      </w:r>
    </w:p>
    <w:p>
      <w:pPr>
        <w:pStyle w:val="Normal"/>
        <w:spacing w:lineRule="auto" w:line="240"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 przedstawieniu projektu uchwały wraz z autopoprawką oraz uzupełnieniu protokołu o dane z dokumentacji uchwały, przewodnicząca komisji zarządziła głosowanie.</w:t>
      </w:r>
    </w:p>
    <w:p>
      <w:pPr>
        <w:pStyle w:val="Normal"/>
        <w:spacing w:lineRule="auto" w:line="240" w:beforeAutospacing="1" w:afterAutospacing="1"/>
        <w:ind w:firstLine="708"/>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wyniku głosowania:</w:t>
      </w:r>
    </w:p>
    <w:p>
      <w:pPr>
        <w:pStyle w:val="Normal"/>
        <w:numPr>
          <w:ilvl w:val="0"/>
          <w:numId w:val="17"/>
        </w:numPr>
        <w:spacing w:lineRule="auto" w:line="240" w:beforeAutospacing="1"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7 członków komisji opowiedziało się za pozytywnym zaopiniowaniem projektu uchwały</w:t>
      </w:r>
      <w:r>
        <w:rPr>
          <w:rFonts w:eastAsia="Times New Roman" w:cs="Times New Roman" w:ascii="Times New Roman" w:hAnsi="Times New Roman"/>
          <w:sz w:val="24"/>
          <w:szCs w:val="24"/>
          <w:lang w:eastAsia="pl-PL"/>
        </w:rPr>
        <w:t>,</w:t>
      </w:r>
    </w:p>
    <w:p>
      <w:pPr>
        <w:pStyle w:val="Normal"/>
        <w:numPr>
          <w:ilvl w:val="0"/>
          <w:numId w:val="17"/>
        </w:numPr>
        <w:spacing w:lineRule="auto" w:line="240" w:before="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3 osoby wstrzymały się od głosu</w:t>
      </w:r>
      <w:r>
        <w:rPr>
          <w:rFonts w:eastAsia="Times New Roman" w:cs="Times New Roman" w:ascii="Times New Roman" w:hAnsi="Times New Roman"/>
          <w:sz w:val="24"/>
          <w:szCs w:val="24"/>
          <w:lang w:eastAsia="pl-PL"/>
        </w:rPr>
        <w:t>,</w:t>
      </w:r>
    </w:p>
    <w:p>
      <w:pPr>
        <w:pStyle w:val="Normal"/>
        <w:numPr>
          <w:ilvl w:val="0"/>
          <w:numId w:val="17"/>
        </w:numPr>
        <w:spacing w:lineRule="auto" w:line="240" w:before="0"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nie było głosów przeciwnych</w:t>
      </w:r>
      <w:r>
        <w:rPr>
          <w:rFonts w:eastAsia="Times New Roman" w:cs="Times New Roman" w:ascii="Times New Roman" w:hAnsi="Times New Roman"/>
          <w:sz w:val="24"/>
          <w:szCs w:val="24"/>
          <w:lang w:eastAsia="pl-PL"/>
        </w:rPr>
        <w:t>.</w:t>
      </w:r>
    </w:p>
    <w:p>
      <w:pPr>
        <w:pStyle w:val="Normal"/>
        <w:spacing w:lineRule="auto" w:line="240" w:beforeAutospacing="1" w:afterAutospacing="1"/>
        <w:ind w:firstLine="708"/>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Wynik głosowania: projekt uchwały został zaopiniowany pozytywnie.</w:t>
      </w:r>
    </w:p>
    <w:p>
      <w:pPr>
        <w:pStyle w:val="Standard"/>
        <w:spacing w:lineRule="auto" w:line="276"/>
        <w:ind w:firstLine="708"/>
        <w:jc w:val="both"/>
        <w:rPr>
          <w:rStyle w:val="Fontstyle01"/>
          <w:rFonts w:ascii="Times New Roman" w:hAnsi="Times New Roman" w:cs="Times New Roman"/>
          <w:b/>
          <w:bCs/>
          <w:sz w:val="24"/>
          <w:szCs w:val="24"/>
          <w:u w:val="single"/>
          <w:lang w:val="pl-PL"/>
        </w:rPr>
      </w:pPr>
      <w:r>
        <w:rPr>
          <w:rStyle w:val="Fontstyle01"/>
          <w:rFonts w:cs="Times New Roman"/>
          <w:b/>
          <w:bCs/>
          <w:sz w:val="24"/>
          <w:szCs w:val="24"/>
          <w:u w:val="single"/>
          <w:lang w:val="pl-PL"/>
        </w:rPr>
        <w:t>13. Wolne głosy i wnioski</w:t>
      </w:r>
    </w:p>
    <w:p>
      <w:pPr>
        <w:pStyle w:val="Standard"/>
        <w:spacing w:lineRule="auto" w:line="276"/>
        <w:ind w:firstLine="708"/>
        <w:jc w:val="both"/>
        <w:rPr>
          <w:rStyle w:val="Fontstyle01"/>
          <w:rFonts w:ascii="Times New Roman" w:hAnsi="Times New Roman" w:cs="Times New Roman"/>
          <w:bCs/>
          <w:sz w:val="24"/>
          <w:szCs w:val="24"/>
          <w:lang w:val="pl-PL"/>
        </w:rPr>
      </w:pPr>
      <w:r>
        <w:rPr>
          <w:rStyle w:val="Fontstyle01"/>
          <w:rFonts w:cs="Times New Roman"/>
          <w:bCs/>
          <w:sz w:val="24"/>
          <w:szCs w:val="24"/>
          <w:lang w:val="pl-PL"/>
        </w:rPr>
        <w:t>W tym punkcie posiedzenia nikt nie zabrał głosu.</w:t>
      </w:r>
    </w:p>
    <w:p>
      <w:pPr>
        <w:pStyle w:val="Standard"/>
        <w:spacing w:lineRule="auto" w:line="276"/>
        <w:ind w:firstLine="708"/>
        <w:jc w:val="both"/>
        <w:rPr>
          <w:rStyle w:val="Fontstyle01"/>
          <w:rFonts w:ascii="Times New Roman" w:hAnsi="Times New Roman" w:cs="Times New Roman"/>
          <w:bCs/>
          <w:sz w:val="24"/>
          <w:szCs w:val="24"/>
          <w:lang w:val="pl-PL"/>
        </w:rPr>
      </w:pPr>
      <w:r>
        <w:rPr>
          <w:rFonts w:cs="Times New Roman"/>
          <w:bCs/>
          <w:sz w:val="24"/>
          <w:szCs w:val="24"/>
          <w:lang w:val="pl-PL"/>
        </w:rPr>
      </w:r>
    </w:p>
    <w:p>
      <w:pPr>
        <w:pStyle w:val="Standard"/>
        <w:spacing w:lineRule="auto" w:line="276"/>
        <w:ind w:firstLine="708"/>
        <w:jc w:val="both"/>
        <w:rPr>
          <w:rStyle w:val="Fontstyle01"/>
          <w:rFonts w:ascii="Times New Roman" w:hAnsi="Times New Roman" w:cs="Times New Roman"/>
          <w:b/>
          <w:bCs/>
          <w:sz w:val="24"/>
          <w:szCs w:val="24"/>
          <w:u w:val="single"/>
          <w:lang w:val="pl-PL"/>
        </w:rPr>
      </w:pPr>
      <w:r>
        <w:rPr>
          <w:rStyle w:val="Fontstyle01"/>
          <w:rFonts w:cs="Times New Roman"/>
          <w:b/>
          <w:bCs/>
          <w:sz w:val="24"/>
          <w:szCs w:val="24"/>
          <w:u w:val="single"/>
          <w:lang w:val="pl-PL"/>
        </w:rPr>
        <w:t>14. Zakończenie posiedzenia</w:t>
      </w:r>
    </w:p>
    <w:p>
      <w:pPr>
        <w:pStyle w:val="Normal"/>
        <w:spacing w:lineRule="auto" w:line="276" w:beforeAutospacing="1" w:afterAutospacing="1"/>
        <w:ind w:left="30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Komisja zakończyła swoją pracę o godzinie 17:50.</w:t>
      </w:r>
    </w:p>
    <w:p>
      <w:pPr>
        <w:pStyle w:val="Normal"/>
        <w:spacing w:lineRule="auto" w:line="276"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Standard"/>
        <w:spacing w:lineRule="auto" w:line="276"/>
        <w:ind w:firstLine="705"/>
        <w:jc w:val="both"/>
        <w:rPr>
          <w:rFonts w:cs="Times New Roman"/>
          <w:lang w:val="pl-PL"/>
        </w:rPr>
      </w:pPr>
      <w:r>
        <w:rPr>
          <w:rFonts w:cs="Times New Roman"/>
          <w:lang w:val="pl-PL"/>
        </w:rPr>
        <w:t xml:space="preserve">Sekretarz Komisji </w:t>
        <w:tab/>
        <w:tab/>
        <w:tab/>
        <w:tab/>
        <w:tab/>
        <w:tab/>
        <w:t>Przewodnicząca Komisji</w:t>
      </w:r>
    </w:p>
    <w:p>
      <w:pPr>
        <w:pStyle w:val="Standard"/>
        <w:spacing w:lineRule="auto" w:line="276"/>
        <w:ind w:firstLine="708"/>
        <w:jc w:val="both"/>
        <w:rPr>
          <w:rStyle w:val="Fontstyle01"/>
          <w:rFonts w:ascii="Times New Roman" w:hAnsi="Times New Roman" w:cs="Times New Roman"/>
          <w:bCs/>
          <w:sz w:val="24"/>
          <w:szCs w:val="24"/>
          <w:lang w:val="pl-PL"/>
        </w:rPr>
      </w:pPr>
      <w:r>
        <w:rPr>
          <w:rFonts w:cs="Times New Roman"/>
          <w:lang w:val="pl-PL"/>
        </w:rPr>
        <w:t xml:space="preserve">Maciej Różański </w:t>
        <w:tab/>
        <w:tab/>
        <w:tab/>
        <w:tab/>
        <w:tab/>
        <w:tab/>
        <w:t>Katarzyna Ekwińska</w:t>
        <w:tab/>
      </w:r>
    </w:p>
    <w:p>
      <w:pPr>
        <w:pStyle w:val="Standard"/>
        <w:spacing w:lineRule="auto" w:line="276"/>
        <w:ind w:firstLine="708"/>
        <w:jc w:val="both"/>
        <w:rPr>
          <w:rStyle w:val="Fontstyle01"/>
          <w:rFonts w:ascii="Times New Roman" w:hAnsi="Times New Roman" w:cs="Times New Roman"/>
          <w:bCs/>
          <w:sz w:val="24"/>
          <w:szCs w:val="24"/>
          <w:lang w:val="pl-PL"/>
        </w:rPr>
      </w:pPr>
      <w:r>
        <w:rPr>
          <w:rStyle w:val="Fontstyle01"/>
          <w:rFonts w:cs="Times New Roman"/>
          <w:bCs/>
          <w:sz w:val="24"/>
          <w:szCs w:val="24"/>
          <w:lang w:val="pl-PL"/>
        </w:rPr>
        <w:t xml:space="preserve"> </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TimesNewRomanPSMT">
    <w:charset w:val="ee"/>
    <w:family w:val="roman"/>
    <w:pitch w:val="variable"/>
  </w:font>
  <w:font w:name="Liberation Sans">
    <w:altName w:val="Arial"/>
    <w:charset w:val="ee"/>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11" w:hanging="360"/>
      </w:pPr>
      <w:rPr/>
    </w:lvl>
    <w:lvl w:ilvl="1">
      <w:start w:val="1"/>
      <w:numFmt w:val="decimal"/>
      <w:lvlText w:val="%2."/>
      <w:lvlJc w:val="left"/>
      <w:pPr>
        <w:tabs>
          <w:tab w:val="num" w:pos="0"/>
        </w:tabs>
        <w:ind w:left="1428" w:hanging="360"/>
      </w:pPr>
      <w:rPr>
        <w:b/>
      </w:rPr>
    </w:lvl>
    <w:lvl w:ilvl="2">
      <w:start w:val="1"/>
      <w:numFmt w:val="decimal"/>
      <w:lvlText w:val="%3."/>
      <w:lvlJc w:val="left"/>
      <w:pPr>
        <w:tabs>
          <w:tab w:val="num" w:pos="0"/>
        </w:tabs>
        <w:ind w:left="1788" w:hanging="360"/>
      </w:pPr>
      <w:rPr/>
    </w:lvl>
    <w:lvl w:ilvl="3">
      <w:start w:val="1"/>
      <w:numFmt w:val="decimal"/>
      <w:lvlText w:val="%4."/>
      <w:lvlJc w:val="left"/>
      <w:pPr>
        <w:tabs>
          <w:tab w:val="num" w:pos="0"/>
        </w:tabs>
        <w:ind w:left="2148" w:hanging="360"/>
      </w:pPr>
      <w:rPr/>
    </w:lvl>
    <w:lvl w:ilvl="4">
      <w:start w:val="1"/>
      <w:numFmt w:val="decimal"/>
      <w:lvlText w:val="%5."/>
      <w:lvlJc w:val="left"/>
      <w:pPr>
        <w:tabs>
          <w:tab w:val="num" w:pos="0"/>
        </w:tabs>
        <w:ind w:left="2508" w:hanging="360"/>
      </w:pPr>
      <w:rPr/>
    </w:lvl>
    <w:lvl w:ilvl="5">
      <w:start w:val="1"/>
      <w:numFmt w:val="decimal"/>
      <w:lvlText w:val="%6."/>
      <w:lvlJc w:val="left"/>
      <w:pPr>
        <w:tabs>
          <w:tab w:val="num" w:pos="0"/>
        </w:tabs>
        <w:ind w:left="2868" w:hanging="360"/>
      </w:pPr>
      <w:rPr/>
    </w:lvl>
    <w:lvl w:ilvl="6">
      <w:start w:val="1"/>
      <w:numFmt w:val="decimal"/>
      <w:lvlText w:val="%7."/>
      <w:lvlJc w:val="left"/>
      <w:pPr>
        <w:tabs>
          <w:tab w:val="num" w:pos="0"/>
        </w:tabs>
        <w:ind w:left="3228" w:hanging="360"/>
      </w:pPr>
      <w:rPr/>
    </w:lvl>
    <w:lvl w:ilvl="7">
      <w:start w:val="1"/>
      <w:numFmt w:val="decimal"/>
      <w:lvlText w:val="%8."/>
      <w:lvlJc w:val="left"/>
      <w:pPr>
        <w:tabs>
          <w:tab w:val="num" w:pos="0"/>
        </w:tabs>
        <w:ind w:left="3588" w:hanging="360"/>
      </w:pPr>
      <w:rPr/>
    </w:lvl>
    <w:lvl w:ilvl="8">
      <w:start w:val="1"/>
      <w:numFmt w:val="decimal"/>
      <w:lvlText w:val="%9."/>
      <w:lvlJc w:val="left"/>
      <w:pPr>
        <w:tabs>
          <w:tab w:val="num" w:pos="0"/>
        </w:tabs>
        <w:ind w:left="3948" w:hanging="36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070" w:hanging="360"/>
      </w:pPr>
      <w:rPr>
        <w:rFonts w:eastAsia="Times New Roman"/>
        <w:color w:val="auto"/>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4">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5">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6">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7">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8">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9">
    <w:lvl w:ilvl="0">
      <w:start w:val="1"/>
      <w:numFmt w:val="decimal"/>
      <w:lvlText w:val="%1."/>
      <w:lvlJc w:val="left"/>
      <w:pPr>
        <w:tabs>
          <w:tab w:val="num" w:pos="1068"/>
        </w:tabs>
        <w:ind w:left="1068" w:hanging="360"/>
      </w:pPr>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decimal"/>
      <w:lvlText w:val="%3."/>
      <w:lvlJc w:val="left"/>
      <w:pPr>
        <w:tabs>
          <w:tab w:val="num" w:pos="2508"/>
        </w:tabs>
        <w:ind w:left="2508" w:hanging="360"/>
      </w:pPr>
      <w:rPr/>
    </w:lvl>
    <w:lvl w:ilvl="3">
      <w:start w:val="1"/>
      <w:numFmt w:val="decimal"/>
      <w:lvlText w:val="%4."/>
      <w:lvlJc w:val="left"/>
      <w:pPr>
        <w:tabs>
          <w:tab w:val="num" w:pos="3228"/>
        </w:tabs>
        <w:ind w:left="3228" w:hanging="360"/>
      </w:pPr>
      <w:rPr/>
    </w:lvl>
    <w:lvl w:ilvl="4">
      <w:start w:val="1"/>
      <w:numFmt w:val="decimal"/>
      <w:lvlText w:val="%5."/>
      <w:lvlJc w:val="left"/>
      <w:pPr>
        <w:tabs>
          <w:tab w:val="num" w:pos="3948"/>
        </w:tabs>
        <w:ind w:left="3948" w:hanging="360"/>
      </w:pPr>
      <w:rPr/>
    </w:lvl>
    <w:lvl w:ilvl="5">
      <w:start w:val="1"/>
      <w:numFmt w:val="decimal"/>
      <w:lvlText w:val="%6."/>
      <w:lvlJc w:val="left"/>
      <w:pPr>
        <w:tabs>
          <w:tab w:val="num" w:pos="4668"/>
        </w:tabs>
        <w:ind w:left="4668" w:hanging="360"/>
      </w:pPr>
      <w:rPr/>
    </w:lvl>
    <w:lvl w:ilvl="6">
      <w:start w:val="1"/>
      <w:numFmt w:val="decimal"/>
      <w:lvlText w:val="%7."/>
      <w:lvlJc w:val="left"/>
      <w:pPr>
        <w:tabs>
          <w:tab w:val="num" w:pos="5388"/>
        </w:tabs>
        <w:ind w:left="5388" w:hanging="360"/>
      </w:pPr>
      <w:rPr/>
    </w:lvl>
    <w:lvl w:ilvl="7">
      <w:start w:val="1"/>
      <w:numFmt w:val="decimal"/>
      <w:lvlText w:val="%8."/>
      <w:lvlJc w:val="left"/>
      <w:pPr>
        <w:tabs>
          <w:tab w:val="num" w:pos="6108"/>
        </w:tabs>
        <w:ind w:left="6108" w:hanging="360"/>
      </w:pPr>
      <w:rPr/>
    </w:lvl>
    <w:lvl w:ilvl="8">
      <w:start w:val="1"/>
      <w:numFmt w:val="decimal"/>
      <w:lvlText w:val="%9."/>
      <w:lvlJc w:val="left"/>
      <w:pPr>
        <w:tabs>
          <w:tab w:val="num" w:pos="6828"/>
        </w:tabs>
        <w:ind w:left="6828" w:hanging="360"/>
      </w:pPr>
      <w:rPr/>
    </w:lvl>
  </w:abstractNum>
  <w:abstractNum w:abstractNumId="10">
    <w:lvl w:ilvl="0">
      <w:start w:val="1"/>
      <w:numFmt w:val="decimal"/>
      <w:lvlText w:val="%1."/>
      <w:lvlJc w:val="left"/>
      <w:pPr>
        <w:tabs>
          <w:tab w:val="num" w:pos="1068"/>
        </w:tabs>
        <w:ind w:left="1068" w:hanging="360"/>
      </w:pPr>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decimal"/>
      <w:lvlText w:val="%3."/>
      <w:lvlJc w:val="left"/>
      <w:pPr>
        <w:tabs>
          <w:tab w:val="num" w:pos="2508"/>
        </w:tabs>
        <w:ind w:left="2508" w:hanging="360"/>
      </w:pPr>
      <w:rPr/>
    </w:lvl>
    <w:lvl w:ilvl="3">
      <w:start w:val="1"/>
      <w:numFmt w:val="decimal"/>
      <w:lvlText w:val="%4."/>
      <w:lvlJc w:val="left"/>
      <w:pPr>
        <w:tabs>
          <w:tab w:val="num" w:pos="3228"/>
        </w:tabs>
        <w:ind w:left="3228" w:hanging="360"/>
      </w:pPr>
      <w:rPr/>
    </w:lvl>
    <w:lvl w:ilvl="4">
      <w:start w:val="1"/>
      <w:numFmt w:val="decimal"/>
      <w:lvlText w:val="%5."/>
      <w:lvlJc w:val="left"/>
      <w:pPr>
        <w:tabs>
          <w:tab w:val="num" w:pos="3948"/>
        </w:tabs>
        <w:ind w:left="3948" w:hanging="360"/>
      </w:pPr>
      <w:rPr/>
    </w:lvl>
    <w:lvl w:ilvl="5">
      <w:start w:val="1"/>
      <w:numFmt w:val="decimal"/>
      <w:lvlText w:val="%6."/>
      <w:lvlJc w:val="left"/>
      <w:pPr>
        <w:tabs>
          <w:tab w:val="num" w:pos="4668"/>
        </w:tabs>
        <w:ind w:left="4668" w:hanging="360"/>
      </w:pPr>
      <w:rPr/>
    </w:lvl>
    <w:lvl w:ilvl="6">
      <w:start w:val="1"/>
      <w:numFmt w:val="decimal"/>
      <w:lvlText w:val="%7."/>
      <w:lvlJc w:val="left"/>
      <w:pPr>
        <w:tabs>
          <w:tab w:val="num" w:pos="5388"/>
        </w:tabs>
        <w:ind w:left="5388" w:hanging="360"/>
      </w:pPr>
      <w:rPr/>
    </w:lvl>
    <w:lvl w:ilvl="7">
      <w:start w:val="1"/>
      <w:numFmt w:val="decimal"/>
      <w:lvlText w:val="%8."/>
      <w:lvlJc w:val="left"/>
      <w:pPr>
        <w:tabs>
          <w:tab w:val="num" w:pos="6108"/>
        </w:tabs>
        <w:ind w:left="6108" w:hanging="360"/>
      </w:pPr>
      <w:rPr/>
    </w:lvl>
    <w:lvl w:ilvl="8">
      <w:start w:val="1"/>
      <w:numFmt w:val="decimal"/>
      <w:lvlText w:val="%9."/>
      <w:lvlJc w:val="left"/>
      <w:pPr>
        <w:tabs>
          <w:tab w:val="num" w:pos="6828"/>
        </w:tabs>
        <w:ind w:left="6828" w:hanging="360"/>
      </w:pPr>
      <w:rPr/>
    </w:lvl>
  </w:abstractNum>
  <w:abstractNum w:abstractNumId="11">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12">
    <w:lvl w:ilvl="0">
      <w:start w:val="1"/>
      <w:numFmt w:val="bullet"/>
      <w:lvlText w:val=""/>
      <w:lvlJc w:val="left"/>
      <w:pPr>
        <w:tabs>
          <w:tab w:val="num" w:pos="1428"/>
        </w:tabs>
        <w:ind w:left="1428" w:hanging="360"/>
      </w:pPr>
      <w:rPr>
        <w:rFonts w:ascii="Symbol" w:hAnsi="Symbol" w:cs="Symbol" w:hint="default"/>
        <w:sz w:val="20"/>
      </w:rPr>
    </w:lvl>
    <w:lvl w:ilvl="1">
      <w:start w:val="1"/>
      <w:numFmt w:val="bullet"/>
      <w:lvlText w:val="o"/>
      <w:lvlJc w:val="left"/>
      <w:pPr>
        <w:tabs>
          <w:tab w:val="num" w:pos="2148"/>
        </w:tabs>
        <w:ind w:left="2148" w:hanging="360"/>
      </w:pPr>
      <w:rPr>
        <w:rFonts w:ascii="Courier New" w:hAnsi="Courier New" w:cs="Courier New" w:hint="default"/>
        <w:sz w:val="20"/>
      </w:rPr>
    </w:lvl>
    <w:lvl w:ilvl="2">
      <w:start w:val="1"/>
      <w:numFmt w:val="bullet"/>
      <w:lvlText w:val=""/>
      <w:lvlJc w:val="left"/>
      <w:pPr>
        <w:tabs>
          <w:tab w:val="num" w:pos="2868"/>
        </w:tabs>
        <w:ind w:left="2868" w:hanging="360"/>
      </w:pPr>
      <w:rPr>
        <w:rFonts w:ascii="Wingdings" w:hAnsi="Wingdings" w:cs="Wingdings" w:hint="default"/>
        <w:sz w:val="20"/>
      </w:rPr>
    </w:lvl>
    <w:lvl w:ilvl="3">
      <w:start w:val="1"/>
      <w:numFmt w:val="bullet"/>
      <w:lvlText w:val=""/>
      <w:lvlJc w:val="left"/>
      <w:pPr>
        <w:tabs>
          <w:tab w:val="num" w:pos="3588"/>
        </w:tabs>
        <w:ind w:left="3588" w:hanging="360"/>
      </w:pPr>
      <w:rPr>
        <w:rFonts w:ascii="Wingdings" w:hAnsi="Wingdings" w:cs="Wingdings" w:hint="default"/>
        <w:sz w:val="20"/>
      </w:rPr>
    </w:lvl>
    <w:lvl w:ilvl="4">
      <w:start w:val="1"/>
      <w:numFmt w:val="bullet"/>
      <w:lvlText w:val=""/>
      <w:lvlJc w:val="left"/>
      <w:pPr>
        <w:tabs>
          <w:tab w:val="num" w:pos="4308"/>
        </w:tabs>
        <w:ind w:left="4308" w:hanging="360"/>
      </w:pPr>
      <w:rPr>
        <w:rFonts w:ascii="Wingdings" w:hAnsi="Wingdings" w:cs="Wingdings" w:hint="default"/>
        <w:sz w:val="20"/>
      </w:rPr>
    </w:lvl>
    <w:lvl w:ilvl="5">
      <w:start w:val="1"/>
      <w:numFmt w:val="bullet"/>
      <w:lvlText w:val=""/>
      <w:lvlJc w:val="left"/>
      <w:pPr>
        <w:tabs>
          <w:tab w:val="num" w:pos="5028"/>
        </w:tabs>
        <w:ind w:left="5028" w:hanging="360"/>
      </w:pPr>
      <w:rPr>
        <w:rFonts w:ascii="Wingdings" w:hAnsi="Wingdings" w:cs="Wingdings" w:hint="default"/>
        <w:sz w:val="20"/>
      </w:rPr>
    </w:lvl>
    <w:lvl w:ilvl="6">
      <w:start w:val="1"/>
      <w:numFmt w:val="bullet"/>
      <w:lvlText w:val=""/>
      <w:lvlJc w:val="left"/>
      <w:pPr>
        <w:tabs>
          <w:tab w:val="num" w:pos="5748"/>
        </w:tabs>
        <w:ind w:left="5748" w:hanging="360"/>
      </w:pPr>
      <w:rPr>
        <w:rFonts w:ascii="Wingdings" w:hAnsi="Wingdings" w:cs="Wingdings" w:hint="default"/>
        <w:sz w:val="20"/>
      </w:rPr>
    </w:lvl>
    <w:lvl w:ilvl="7">
      <w:start w:val="1"/>
      <w:numFmt w:val="bullet"/>
      <w:lvlText w:val=""/>
      <w:lvlJc w:val="left"/>
      <w:pPr>
        <w:tabs>
          <w:tab w:val="num" w:pos="6468"/>
        </w:tabs>
        <w:ind w:left="6468" w:hanging="360"/>
      </w:pPr>
      <w:rPr>
        <w:rFonts w:ascii="Wingdings" w:hAnsi="Wingdings" w:cs="Wingdings" w:hint="default"/>
        <w:sz w:val="20"/>
      </w:rPr>
    </w:lvl>
    <w:lvl w:ilvl="8">
      <w:start w:val="1"/>
      <w:numFmt w:val="bullet"/>
      <w:lvlText w:val=""/>
      <w:lvlJc w:val="left"/>
      <w:pPr>
        <w:tabs>
          <w:tab w:val="num" w:pos="7188"/>
        </w:tabs>
        <w:ind w:left="7188" w:hanging="360"/>
      </w:pPr>
      <w:rPr>
        <w:rFonts w:ascii="Wingdings" w:hAnsi="Wingdings" w:cs="Wingdings" w:hint="default"/>
        <w:sz w:val="20"/>
      </w:rPr>
    </w:lvl>
  </w:abstractNum>
  <w:abstractNum w:abstractNumId="13">
    <w:lvl w:ilvl="0">
      <w:start w:val="1"/>
      <w:numFmt w:val="bullet"/>
      <w:lvlText w:val=""/>
      <w:lvlJc w:val="left"/>
      <w:pPr>
        <w:tabs>
          <w:tab w:val="num" w:pos="1428"/>
        </w:tabs>
        <w:ind w:left="1428" w:hanging="360"/>
      </w:pPr>
      <w:rPr>
        <w:rFonts w:ascii="Symbol" w:hAnsi="Symbol" w:cs="Symbol" w:hint="default"/>
        <w:sz w:val="20"/>
      </w:rPr>
    </w:lvl>
    <w:lvl w:ilvl="1">
      <w:start w:val="1"/>
      <w:numFmt w:val="bullet"/>
      <w:lvlText w:val="o"/>
      <w:lvlJc w:val="left"/>
      <w:pPr>
        <w:tabs>
          <w:tab w:val="num" w:pos="2148"/>
        </w:tabs>
        <w:ind w:left="2148" w:hanging="360"/>
      </w:pPr>
      <w:rPr>
        <w:rFonts w:ascii="Courier New" w:hAnsi="Courier New" w:cs="Courier New" w:hint="default"/>
        <w:sz w:val="20"/>
      </w:rPr>
    </w:lvl>
    <w:lvl w:ilvl="2">
      <w:start w:val="1"/>
      <w:numFmt w:val="bullet"/>
      <w:lvlText w:val=""/>
      <w:lvlJc w:val="left"/>
      <w:pPr>
        <w:tabs>
          <w:tab w:val="num" w:pos="2868"/>
        </w:tabs>
        <w:ind w:left="2868" w:hanging="360"/>
      </w:pPr>
      <w:rPr>
        <w:rFonts w:ascii="Wingdings" w:hAnsi="Wingdings" w:cs="Wingdings" w:hint="default"/>
        <w:sz w:val="20"/>
      </w:rPr>
    </w:lvl>
    <w:lvl w:ilvl="3">
      <w:start w:val="1"/>
      <w:numFmt w:val="bullet"/>
      <w:lvlText w:val=""/>
      <w:lvlJc w:val="left"/>
      <w:pPr>
        <w:tabs>
          <w:tab w:val="num" w:pos="3588"/>
        </w:tabs>
        <w:ind w:left="3588" w:hanging="360"/>
      </w:pPr>
      <w:rPr>
        <w:rFonts w:ascii="Wingdings" w:hAnsi="Wingdings" w:cs="Wingdings" w:hint="default"/>
        <w:sz w:val="20"/>
      </w:rPr>
    </w:lvl>
    <w:lvl w:ilvl="4">
      <w:start w:val="1"/>
      <w:numFmt w:val="bullet"/>
      <w:lvlText w:val=""/>
      <w:lvlJc w:val="left"/>
      <w:pPr>
        <w:tabs>
          <w:tab w:val="num" w:pos="4308"/>
        </w:tabs>
        <w:ind w:left="4308" w:hanging="360"/>
      </w:pPr>
      <w:rPr>
        <w:rFonts w:ascii="Wingdings" w:hAnsi="Wingdings" w:cs="Wingdings" w:hint="default"/>
        <w:sz w:val="20"/>
      </w:rPr>
    </w:lvl>
    <w:lvl w:ilvl="5">
      <w:start w:val="1"/>
      <w:numFmt w:val="bullet"/>
      <w:lvlText w:val=""/>
      <w:lvlJc w:val="left"/>
      <w:pPr>
        <w:tabs>
          <w:tab w:val="num" w:pos="5028"/>
        </w:tabs>
        <w:ind w:left="5028" w:hanging="360"/>
      </w:pPr>
      <w:rPr>
        <w:rFonts w:ascii="Wingdings" w:hAnsi="Wingdings" w:cs="Wingdings" w:hint="default"/>
        <w:sz w:val="20"/>
      </w:rPr>
    </w:lvl>
    <w:lvl w:ilvl="6">
      <w:start w:val="1"/>
      <w:numFmt w:val="bullet"/>
      <w:lvlText w:val=""/>
      <w:lvlJc w:val="left"/>
      <w:pPr>
        <w:tabs>
          <w:tab w:val="num" w:pos="5748"/>
        </w:tabs>
        <w:ind w:left="5748" w:hanging="360"/>
      </w:pPr>
      <w:rPr>
        <w:rFonts w:ascii="Wingdings" w:hAnsi="Wingdings" w:cs="Wingdings" w:hint="default"/>
        <w:sz w:val="20"/>
      </w:rPr>
    </w:lvl>
    <w:lvl w:ilvl="7">
      <w:start w:val="1"/>
      <w:numFmt w:val="bullet"/>
      <w:lvlText w:val=""/>
      <w:lvlJc w:val="left"/>
      <w:pPr>
        <w:tabs>
          <w:tab w:val="num" w:pos="6468"/>
        </w:tabs>
        <w:ind w:left="6468" w:hanging="360"/>
      </w:pPr>
      <w:rPr>
        <w:rFonts w:ascii="Wingdings" w:hAnsi="Wingdings" w:cs="Wingdings" w:hint="default"/>
        <w:sz w:val="20"/>
      </w:rPr>
    </w:lvl>
    <w:lvl w:ilvl="8">
      <w:start w:val="1"/>
      <w:numFmt w:val="bullet"/>
      <w:lvlText w:val=""/>
      <w:lvlJc w:val="left"/>
      <w:pPr>
        <w:tabs>
          <w:tab w:val="num" w:pos="7188"/>
        </w:tabs>
        <w:ind w:left="7188" w:hanging="360"/>
      </w:pPr>
      <w:rPr>
        <w:rFonts w:ascii="Wingdings" w:hAnsi="Wingdings" w:cs="Wingdings" w:hint="default"/>
        <w:sz w:val="20"/>
      </w:rPr>
    </w:lvl>
  </w:abstractNum>
  <w:abstractNum w:abstractNumId="14">
    <w:lvl w:ilvl="0">
      <w:start w:val="1"/>
      <w:numFmt w:val="lowerLetter"/>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15">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16">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17">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18">
    <w:lvl w:ilvl="0">
      <w:start w:val="1"/>
      <w:numFmt w:val="bullet"/>
      <w:lvlText w:val=""/>
      <w:lvlJc w:val="left"/>
      <w:pPr>
        <w:tabs>
          <w:tab w:val="num" w:pos="2130"/>
        </w:tabs>
        <w:ind w:left="2130" w:hanging="360"/>
      </w:pPr>
      <w:rPr>
        <w:rFonts w:ascii="Symbol" w:hAnsi="Symbol" w:cs="Symbol" w:hint="default"/>
        <w:sz w:val="20"/>
      </w:rPr>
    </w:lvl>
    <w:lvl w:ilvl="1">
      <w:start w:val="1"/>
      <w:numFmt w:val="bullet"/>
      <w:lvlText w:val="o"/>
      <w:lvlJc w:val="left"/>
      <w:pPr>
        <w:tabs>
          <w:tab w:val="num" w:pos="2850"/>
        </w:tabs>
        <w:ind w:left="2850" w:hanging="360"/>
      </w:pPr>
      <w:rPr>
        <w:rFonts w:ascii="Courier New" w:hAnsi="Courier New" w:cs="Courier New" w:hint="default"/>
        <w:sz w:val="20"/>
      </w:rPr>
    </w:lvl>
    <w:lvl w:ilvl="2">
      <w:start w:val="1"/>
      <w:numFmt w:val="bullet"/>
      <w:lvlText w:val=""/>
      <w:lvlJc w:val="left"/>
      <w:pPr>
        <w:tabs>
          <w:tab w:val="num" w:pos="3570"/>
        </w:tabs>
        <w:ind w:left="3570" w:hanging="360"/>
      </w:pPr>
      <w:rPr>
        <w:rFonts w:ascii="Wingdings" w:hAnsi="Wingdings" w:cs="Wingdings" w:hint="default"/>
        <w:sz w:val="20"/>
      </w:rPr>
    </w:lvl>
    <w:lvl w:ilvl="3">
      <w:start w:val="1"/>
      <w:numFmt w:val="bullet"/>
      <w:lvlText w:val=""/>
      <w:lvlJc w:val="left"/>
      <w:pPr>
        <w:tabs>
          <w:tab w:val="num" w:pos="4290"/>
        </w:tabs>
        <w:ind w:left="4290" w:hanging="360"/>
      </w:pPr>
      <w:rPr>
        <w:rFonts w:ascii="Wingdings" w:hAnsi="Wingdings" w:cs="Wingdings" w:hint="default"/>
        <w:sz w:val="20"/>
      </w:rPr>
    </w:lvl>
    <w:lvl w:ilvl="4">
      <w:start w:val="1"/>
      <w:numFmt w:val="bullet"/>
      <w:lvlText w:val=""/>
      <w:lvlJc w:val="left"/>
      <w:pPr>
        <w:tabs>
          <w:tab w:val="num" w:pos="5010"/>
        </w:tabs>
        <w:ind w:left="5010" w:hanging="360"/>
      </w:pPr>
      <w:rPr>
        <w:rFonts w:ascii="Wingdings" w:hAnsi="Wingdings" w:cs="Wingdings" w:hint="default"/>
        <w:sz w:val="20"/>
      </w:rPr>
    </w:lvl>
    <w:lvl w:ilvl="5">
      <w:start w:val="1"/>
      <w:numFmt w:val="bullet"/>
      <w:lvlText w:val=""/>
      <w:lvlJc w:val="left"/>
      <w:pPr>
        <w:tabs>
          <w:tab w:val="num" w:pos="5730"/>
        </w:tabs>
        <w:ind w:left="5730" w:hanging="360"/>
      </w:pPr>
      <w:rPr>
        <w:rFonts w:ascii="Wingdings" w:hAnsi="Wingdings" w:cs="Wingdings" w:hint="default"/>
        <w:sz w:val="20"/>
      </w:rPr>
    </w:lvl>
    <w:lvl w:ilvl="6">
      <w:start w:val="1"/>
      <w:numFmt w:val="bullet"/>
      <w:lvlText w:val=""/>
      <w:lvlJc w:val="left"/>
      <w:pPr>
        <w:tabs>
          <w:tab w:val="num" w:pos="6450"/>
        </w:tabs>
        <w:ind w:left="6450" w:hanging="360"/>
      </w:pPr>
      <w:rPr>
        <w:rFonts w:ascii="Wingdings" w:hAnsi="Wingdings" w:cs="Wingdings" w:hint="default"/>
        <w:sz w:val="20"/>
      </w:rPr>
    </w:lvl>
    <w:lvl w:ilvl="7">
      <w:start w:val="1"/>
      <w:numFmt w:val="bullet"/>
      <w:lvlText w:val=""/>
      <w:lvlJc w:val="left"/>
      <w:pPr>
        <w:tabs>
          <w:tab w:val="num" w:pos="7170"/>
        </w:tabs>
        <w:ind w:left="7170" w:hanging="360"/>
      </w:pPr>
      <w:rPr>
        <w:rFonts w:ascii="Wingdings" w:hAnsi="Wingdings" w:cs="Wingdings" w:hint="default"/>
        <w:sz w:val="20"/>
      </w:rPr>
    </w:lvl>
    <w:lvl w:ilvl="8">
      <w:start w:val="1"/>
      <w:numFmt w:val="bullet"/>
      <w:lvlText w:val=""/>
      <w:lvlJc w:val="left"/>
      <w:pPr>
        <w:tabs>
          <w:tab w:val="num" w:pos="7890"/>
        </w:tabs>
        <w:ind w:left="7890" w:hanging="360"/>
      </w:pPr>
      <w:rPr>
        <w:rFonts w:ascii="Wingdings" w:hAnsi="Wingdings" w:cs="Wingdings" w:hint="default"/>
        <w:sz w:val="20"/>
      </w:rPr>
    </w:lvl>
  </w:abstractNum>
  <w:abstractNum w:abstractNumId="19">
    <w:lvl w:ilvl="0">
      <w:start w:val="1"/>
      <w:numFmt w:val="bullet"/>
      <w:lvlText w:val=""/>
      <w:lvlJc w:val="left"/>
      <w:pPr>
        <w:tabs>
          <w:tab w:val="num" w:pos="2130"/>
        </w:tabs>
        <w:ind w:left="2130" w:hanging="360"/>
      </w:pPr>
      <w:rPr>
        <w:rFonts w:ascii="Symbol" w:hAnsi="Symbol" w:cs="Symbol" w:hint="default"/>
        <w:sz w:val="20"/>
      </w:rPr>
    </w:lvl>
    <w:lvl w:ilvl="1">
      <w:start w:val="1"/>
      <w:numFmt w:val="bullet"/>
      <w:lvlText w:val="o"/>
      <w:lvlJc w:val="left"/>
      <w:pPr>
        <w:tabs>
          <w:tab w:val="num" w:pos="2850"/>
        </w:tabs>
        <w:ind w:left="2850" w:hanging="360"/>
      </w:pPr>
      <w:rPr>
        <w:rFonts w:ascii="Courier New" w:hAnsi="Courier New" w:cs="Courier New" w:hint="default"/>
        <w:sz w:val="20"/>
      </w:rPr>
    </w:lvl>
    <w:lvl w:ilvl="2">
      <w:start w:val="1"/>
      <w:numFmt w:val="bullet"/>
      <w:lvlText w:val=""/>
      <w:lvlJc w:val="left"/>
      <w:pPr>
        <w:tabs>
          <w:tab w:val="num" w:pos="3570"/>
        </w:tabs>
        <w:ind w:left="3570" w:hanging="360"/>
      </w:pPr>
      <w:rPr>
        <w:rFonts w:ascii="Wingdings" w:hAnsi="Wingdings" w:cs="Wingdings" w:hint="default"/>
        <w:sz w:val="20"/>
      </w:rPr>
    </w:lvl>
    <w:lvl w:ilvl="3">
      <w:start w:val="1"/>
      <w:numFmt w:val="bullet"/>
      <w:lvlText w:val=""/>
      <w:lvlJc w:val="left"/>
      <w:pPr>
        <w:tabs>
          <w:tab w:val="num" w:pos="4290"/>
        </w:tabs>
        <w:ind w:left="4290" w:hanging="360"/>
      </w:pPr>
      <w:rPr>
        <w:rFonts w:ascii="Wingdings" w:hAnsi="Wingdings" w:cs="Wingdings" w:hint="default"/>
        <w:sz w:val="20"/>
      </w:rPr>
    </w:lvl>
    <w:lvl w:ilvl="4">
      <w:start w:val="1"/>
      <w:numFmt w:val="bullet"/>
      <w:lvlText w:val=""/>
      <w:lvlJc w:val="left"/>
      <w:pPr>
        <w:tabs>
          <w:tab w:val="num" w:pos="5010"/>
        </w:tabs>
        <w:ind w:left="5010" w:hanging="360"/>
      </w:pPr>
      <w:rPr>
        <w:rFonts w:ascii="Wingdings" w:hAnsi="Wingdings" w:cs="Wingdings" w:hint="default"/>
        <w:sz w:val="20"/>
      </w:rPr>
    </w:lvl>
    <w:lvl w:ilvl="5">
      <w:start w:val="1"/>
      <w:numFmt w:val="bullet"/>
      <w:lvlText w:val=""/>
      <w:lvlJc w:val="left"/>
      <w:pPr>
        <w:tabs>
          <w:tab w:val="num" w:pos="5730"/>
        </w:tabs>
        <w:ind w:left="5730" w:hanging="360"/>
      </w:pPr>
      <w:rPr>
        <w:rFonts w:ascii="Wingdings" w:hAnsi="Wingdings" w:cs="Wingdings" w:hint="default"/>
        <w:sz w:val="20"/>
      </w:rPr>
    </w:lvl>
    <w:lvl w:ilvl="6">
      <w:start w:val="1"/>
      <w:numFmt w:val="bullet"/>
      <w:lvlText w:val=""/>
      <w:lvlJc w:val="left"/>
      <w:pPr>
        <w:tabs>
          <w:tab w:val="num" w:pos="6450"/>
        </w:tabs>
        <w:ind w:left="6450" w:hanging="360"/>
      </w:pPr>
      <w:rPr>
        <w:rFonts w:ascii="Wingdings" w:hAnsi="Wingdings" w:cs="Wingdings" w:hint="default"/>
        <w:sz w:val="20"/>
      </w:rPr>
    </w:lvl>
    <w:lvl w:ilvl="7">
      <w:start w:val="1"/>
      <w:numFmt w:val="bullet"/>
      <w:lvlText w:val=""/>
      <w:lvlJc w:val="left"/>
      <w:pPr>
        <w:tabs>
          <w:tab w:val="num" w:pos="7170"/>
        </w:tabs>
        <w:ind w:left="7170" w:hanging="360"/>
      </w:pPr>
      <w:rPr>
        <w:rFonts w:ascii="Wingdings" w:hAnsi="Wingdings" w:cs="Wingdings" w:hint="default"/>
        <w:sz w:val="20"/>
      </w:rPr>
    </w:lvl>
    <w:lvl w:ilvl="8">
      <w:start w:val="1"/>
      <w:numFmt w:val="bullet"/>
      <w:lvlText w:val=""/>
      <w:lvlJc w:val="left"/>
      <w:pPr>
        <w:tabs>
          <w:tab w:val="num" w:pos="7890"/>
        </w:tabs>
        <w:ind w:left="7890" w:hanging="360"/>
      </w:pPr>
      <w:rPr>
        <w:rFonts w:ascii="Wingdings" w:hAnsi="Wingdings" w:cs="Wingdings" w:hint="default"/>
        <w:sz w:val="20"/>
      </w:rPr>
    </w:lvl>
  </w:abstractNum>
  <w:abstractNum w:abstractNumId="20">
    <w:lvl w:ilvl="0">
      <w:start w:val="1"/>
      <w:numFmt w:val="bullet"/>
      <w:lvlText w:val=""/>
      <w:lvlJc w:val="left"/>
      <w:pPr>
        <w:tabs>
          <w:tab w:val="num" w:pos="1770"/>
        </w:tabs>
        <w:ind w:left="1770" w:hanging="360"/>
      </w:pPr>
      <w:rPr>
        <w:rFonts w:ascii="Symbol" w:hAnsi="Symbol" w:cs="Symbol" w:hint="default"/>
        <w:sz w:val="20"/>
      </w:rPr>
    </w:lvl>
    <w:lvl w:ilvl="1">
      <w:start w:val="1"/>
      <w:numFmt w:val="bullet"/>
      <w:lvlText w:val="o"/>
      <w:lvlJc w:val="left"/>
      <w:pPr>
        <w:tabs>
          <w:tab w:val="num" w:pos="2490"/>
        </w:tabs>
        <w:ind w:left="2490" w:hanging="360"/>
      </w:pPr>
      <w:rPr>
        <w:rFonts w:ascii="Courier New" w:hAnsi="Courier New" w:cs="Courier New" w:hint="default"/>
        <w:sz w:val="20"/>
      </w:rPr>
    </w:lvl>
    <w:lvl w:ilvl="2">
      <w:start w:val="1"/>
      <w:numFmt w:val="bullet"/>
      <w:lvlText w:val=""/>
      <w:lvlJc w:val="left"/>
      <w:pPr>
        <w:tabs>
          <w:tab w:val="num" w:pos="3210"/>
        </w:tabs>
        <w:ind w:left="3210" w:hanging="360"/>
      </w:pPr>
      <w:rPr>
        <w:rFonts w:ascii="Wingdings" w:hAnsi="Wingdings" w:cs="Wingdings" w:hint="default"/>
        <w:sz w:val="20"/>
      </w:rPr>
    </w:lvl>
    <w:lvl w:ilvl="3">
      <w:start w:val="1"/>
      <w:numFmt w:val="bullet"/>
      <w:lvlText w:val=""/>
      <w:lvlJc w:val="left"/>
      <w:pPr>
        <w:tabs>
          <w:tab w:val="num" w:pos="3930"/>
        </w:tabs>
        <w:ind w:left="3930" w:hanging="360"/>
      </w:pPr>
      <w:rPr>
        <w:rFonts w:ascii="Wingdings" w:hAnsi="Wingdings" w:cs="Wingdings" w:hint="default"/>
        <w:sz w:val="20"/>
      </w:rPr>
    </w:lvl>
    <w:lvl w:ilvl="4">
      <w:start w:val="1"/>
      <w:numFmt w:val="bullet"/>
      <w:lvlText w:val=""/>
      <w:lvlJc w:val="left"/>
      <w:pPr>
        <w:tabs>
          <w:tab w:val="num" w:pos="4650"/>
        </w:tabs>
        <w:ind w:left="4650" w:hanging="360"/>
      </w:pPr>
      <w:rPr>
        <w:rFonts w:ascii="Wingdings" w:hAnsi="Wingdings" w:cs="Wingdings" w:hint="default"/>
        <w:sz w:val="20"/>
      </w:rPr>
    </w:lvl>
    <w:lvl w:ilvl="5">
      <w:start w:val="1"/>
      <w:numFmt w:val="bullet"/>
      <w:lvlText w:val=""/>
      <w:lvlJc w:val="left"/>
      <w:pPr>
        <w:tabs>
          <w:tab w:val="num" w:pos="5370"/>
        </w:tabs>
        <w:ind w:left="5370" w:hanging="360"/>
      </w:pPr>
      <w:rPr>
        <w:rFonts w:ascii="Wingdings" w:hAnsi="Wingdings" w:cs="Wingdings" w:hint="default"/>
        <w:sz w:val="20"/>
      </w:rPr>
    </w:lvl>
    <w:lvl w:ilvl="6">
      <w:start w:val="1"/>
      <w:numFmt w:val="bullet"/>
      <w:lvlText w:val=""/>
      <w:lvlJc w:val="left"/>
      <w:pPr>
        <w:tabs>
          <w:tab w:val="num" w:pos="6090"/>
        </w:tabs>
        <w:ind w:left="6090" w:hanging="360"/>
      </w:pPr>
      <w:rPr>
        <w:rFonts w:ascii="Wingdings" w:hAnsi="Wingdings" w:cs="Wingdings" w:hint="default"/>
        <w:sz w:val="20"/>
      </w:rPr>
    </w:lvl>
    <w:lvl w:ilvl="7">
      <w:start w:val="1"/>
      <w:numFmt w:val="bullet"/>
      <w:lvlText w:val=""/>
      <w:lvlJc w:val="left"/>
      <w:pPr>
        <w:tabs>
          <w:tab w:val="num" w:pos="6810"/>
        </w:tabs>
        <w:ind w:left="6810" w:hanging="360"/>
      </w:pPr>
      <w:rPr>
        <w:rFonts w:ascii="Wingdings" w:hAnsi="Wingdings" w:cs="Wingdings" w:hint="default"/>
        <w:sz w:val="20"/>
      </w:rPr>
    </w:lvl>
    <w:lvl w:ilvl="8">
      <w:start w:val="1"/>
      <w:numFmt w:val="bullet"/>
      <w:lvlText w:val=""/>
      <w:lvlJc w:val="left"/>
      <w:pPr>
        <w:tabs>
          <w:tab w:val="num" w:pos="7530"/>
        </w:tabs>
        <w:ind w:left="7530" w:hanging="360"/>
      </w:pPr>
      <w:rPr>
        <w:rFonts w:ascii="Wingdings" w:hAnsi="Wingdings" w:cs="Wingdings" w:hint="default"/>
        <w:sz w:val="20"/>
      </w:rPr>
    </w:lvl>
  </w:abstractNum>
  <w:abstractNum w:abstractNumId="21">
    <w:lvl w:ilvl="0">
      <w:start w:val="1"/>
      <w:numFmt w:val="bullet"/>
      <w:lvlText w:val=""/>
      <w:lvlJc w:val="left"/>
      <w:pPr>
        <w:tabs>
          <w:tab w:val="num" w:pos="1770"/>
        </w:tabs>
        <w:ind w:left="1770" w:hanging="360"/>
      </w:pPr>
      <w:rPr>
        <w:rFonts w:ascii="Symbol" w:hAnsi="Symbol" w:cs="Symbol" w:hint="default"/>
        <w:sz w:val="20"/>
      </w:rPr>
    </w:lvl>
    <w:lvl w:ilvl="1">
      <w:start w:val="1"/>
      <w:numFmt w:val="bullet"/>
      <w:lvlText w:val="o"/>
      <w:lvlJc w:val="left"/>
      <w:pPr>
        <w:tabs>
          <w:tab w:val="num" w:pos="2490"/>
        </w:tabs>
        <w:ind w:left="2490" w:hanging="360"/>
      </w:pPr>
      <w:rPr>
        <w:rFonts w:ascii="Courier New" w:hAnsi="Courier New" w:cs="Courier New" w:hint="default"/>
        <w:sz w:val="20"/>
      </w:rPr>
    </w:lvl>
    <w:lvl w:ilvl="2">
      <w:start w:val="1"/>
      <w:numFmt w:val="bullet"/>
      <w:lvlText w:val=""/>
      <w:lvlJc w:val="left"/>
      <w:pPr>
        <w:tabs>
          <w:tab w:val="num" w:pos="3210"/>
        </w:tabs>
        <w:ind w:left="3210" w:hanging="360"/>
      </w:pPr>
      <w:rPr>
        <w:rFonts w:ascii="Wingdings" w:hAnsi="Wingdings" w:cs="Wingdings" w:hint="default"/>
        <w:sz w:val="20"/>
      </w:rPr>
    </w:lvl>
    <w:lvl w:ilvl="3">
      <w:start w:val="1"/>
      <w:numFmt w:val="bullet"/>
      <w:lvlText w:val=""/>
      <w:lvlJc w:val="left"/>
      <w:pPr>
        <w:tabs>
          <w:tab w:val="num" w:pos="3930"/>
        </w:tabs>
        <w:ind w:left="3930" w:hanging="360"/>
      </w:pPr>
      <w:rPr>
        <w:rFonts w:ascii="Wingdings" w:hAnsi="Wingdings" w:cs="Wingdings" w:hint="default"/>
        <w:sz w:val="20"/>
      </w:rPr>
    </w:lvl>
    <w:lvl w:ilvl="4">
      <w:start w:val="1"/>
      <w:numFmt w:val="bullet"/>
      <w:lvlText w:val=""/>
      <w:lvlJc w:val="left"/>
      <w:pPr>
        <w:tabs>
          <w:tab w:val="num" w:pos="4650"/>
        </w:tabs>
        <w:ind w:left="4650" w:hanging="360"/>
      </w:pPr>
      <w:rPr>
        <w:rFonts w:ascii="Wingdings" w:hAnsi="Wingdings" w:cs="Wingdings" w:hint="default"/>
        <w:sz w:val="20"/>
      </w:rPr>
    </w:lvl>
    <w:lvl w:ilvl="5">
      <w:start w:val="1"/>
      <w:numFmt w:val="bullet"/>
      <w:lvlText w:val=""/>
      <w:lvlJc w:val="left"/>
      <w:pPr>
        <w:tabs>
          <w:tab w:val="num" w:pos="5370"/>
        </w:tabs>
        <w:ind w:left="5370" w:hanging="360"/>
      </w:pPr>
      <w:rPr>
        <w:rFonts w:ascii="Wingdings" w:hAnsi="Wingdings" w:cs="Wingdings" w:hint="default"/>
        <w:sz w:val="20"/>
      </w:rPr>
    </w:lvl>
    <w:lvl w:ilvl="6">
      <w:start w:val="1"/>
      <w:numFmt w:val="bullet"/>
      <w:lvlText w:val=""/>
      <w:lvlJc w:val="left"/>
      <w:pPr>
        <w:tabs>
          <w:tab w:val="num" w:pos="6090"/>
        </w:tabs>
        <w:ind w:left="6090" w:hanging="360"/>
      </w:pPr>
      <w:rPr>
        <w:rFonts w:ascii="Wingdings" w:hAnsi="Wingdings" w:cs="Wingdings" w:hint="default"/>
        <w:sz w:val="20"/>
      </w:rPr>
    </w:lvl>
    <w:lvl w:ilvl="7">
      <w:start w:val="1"/>
      <w:numFmt w:val="bullet"/>
      <w:lvlText w:val=""/>
      <w:lvlJc w:val="left"/>
      <w:pPr>
        <w:tabs>
          <w:tab w:val="num" w:pos="6810"/>
        </w:tabs>
        <w:ind w:left="6810" w:hanging="360"/>
      </w:pPr>
      <w:rPr>
        <w:rFonts w:ascii="Wingdings" w:hAnsi="Wingdings" w:cs="Wingdings" w:hint="default"/>
        <w:sz w:val="20"/>
      </w:rPr>
    </w:lvl>
    <w:lvl w:ilvl="8">
      <w:start w:val="1"/>
      <w:numFmt w:val="bullet"/>
      <w:lvlText w:val=""/>
      <w:lvlJc w:val="left"/>
      <w:pPr>
        <w:tabs>
          <w:tab w:val="num" w:pos="7530"/>
        </w:tabs>
        <w:ind w:left="7530" w:hanging="360"/>
      </w:pPr>
      <w:rPr>
        <w:rFonts w:ascii="Wingdings" w:hAnsi="Wingdings" w:cs="Wingdings" w:hint="default"/>
        <w:sz w:val="20"/>
      </w:rPr>
    </w:lvl>
  </w:abstractNum>
  <w:abstractNum w:abstractNumId="22">
    <w:lvl w:ilvl="0">
      <w:start w:val="1"/>
      <w:numFmt w:val="bullet"/>
      <w:lvlText w:val=""/>
      <w:lvlJc w:val="left"/>
      <w:pPr>
        <w:tabs>
          <w:tab w:val="num" w:pos="1770"/>
        </w:tabs>
        <w:ind w:left="1770" w:hanging="360"/>
      </w:pPr>
      <w:rPr>
        <w:rFonts w:ascii="Symbol" w:hAnsi="Symbol" w:cs="Symbol" w:hint="default"/>
        <w:sz w:val="20"/>
      </w:rPr>
    </w:lvl>
    <w:lvl w:ilvl="1">
      <w:start w:val="1"/>
      <w:numFmt w:val="bullet"/>
      <w:lvlText w:val="o"/>
      <w:lvlJc w:val="left"/>
      <w:pPr>
        <w:tabs>
          <w:tab w:val="num" w:pos="2490"/>
        </w:tabs>
        <w:ind w:left="2490" w:hanging="360"/>
      </w:pPr>
      <w:rPr>
        <w:rFonts w:ascii="Courier New" w:hAnsi="Courier New" w:cs="Courier New" w:hint="default"/>
        <w:sz w:val="20"/>
      </w:rPr>
    </w:lvl>
    <w:lvl w:ilvl="2">
      <w:start w:val="1"/>
      <w:numFmt w:val="bullet"/>
      <w:lvlText w:val=""/>
      <w:lvlJc w:val="left"/>
      <w:pPr>
        <w:tabs>
          <w:tab w:val="num" w:pos="3210"/>
        </w:tabs>
        <w:ind w:left="3210" w:hanging="360"/>
      </w:pPr>
      <w:rPr>
        <w:rFonts w:ascii="Wingdings" w:hAnsi="Wingdings" w:cs="Wingdings" w:hint="default"/>
        <w:sz w:val="20"/>
      </w:rPr>
    </w:lvl>
    <w:lvl w:ilvl="3">
      <w:start w:val="1"/>
      <w:numFmt w:val="bullet"/>
      <w:lvlText w:val=""/>
      <w:lvlJc w:val="left"/>
      <w:pPr>
        <w:tabs>
          <w:tab w:val="num" w:pos="3930"/>
        </w:tabs>
        <w:ind w:left="3930" w:hanging="360"/>
      </w:pPr>
      <w:rPr>
        <w:rFonts w:ascii="Wingdings" w:hAnsi="Wingdings" w:cs="Wingdings" w:hint="default"/>
        <w:sz w:val="20"/>
      </w:rPr>
    </w:lvl>
    <w:lvl w:ilvl="4">
      <w:start w:val="1"/>
      <w:numFmt w:val="bullet"/>
      <w:lvlText w:val=""/>
      <w:lvlJc w:val="left"/>
      <w:pPr>
        <w:tabs>
          <w:tab w:val="num" w:pos="4650"/>
        </w:tabs>
        <w:ind w:left="4650" w:hanging="360"/>
      </w:pPr>
      <w:rPr>
        <w:rFonts w:ascii="Wingdings" w:hAnsi="Wingdings" w:cs="Wingdings" w:hint="default"/>
        <w:sz w:val="20"/>
      </w:rPr>
    </w:lvl>
    <w:lvl w:ilvl="5">
      <w:start w:val="1"/>
      <w:numFmt w:val="bullet"/>
      <w:lvlText w:val=""/>
      <w:lvlJc w:val="left"/>
      <w:pPr>
        <w:tabs>
          <w:tab w:val="num" w:pos="5370"/>
        </w:tabs>
        <w:ind w:left="5370" w:hanging="360"/>
      </w:pPr>
      <w:rPr>
        <w:rFonts w:ascii="Wingdings" w:hAnsi="Wingdings" w:cs="Wingdings" w:hint="default"/>
        <w:sz w:val="20"/>
      </w:rPr>
    </w:lvl>
    <w:lvl w:ilvl="6">
      <w:start w:val="1"/>
      <w:numFmt w:val="bullet"/>
      <w:lvlText w:val=""/>
      <w:lvlJc w:val="left"/>
      <w:pPr>
        <w:tabs>
          <w:tab w:val="num" w:pos="6090"/>
        </w:tabs>
        <w:ind w:left="6090" w:hanging="360"/>
      </w:pPr>
      <w:rPr>
        <w:rFonts w:ascii="Wingdings" w:hAnsi="Wingdings" w:cs="Wingdings" w:hint="default"/>
        <w:sz w:val="20"/>
      </w:rPr>
    </w:lvl>
    <w:lvl w:ilvl="7">
      <w:start w:val="1"/>
      <w:numFmt w:val="bullet"/>
      <w:lvlText w:val=""/>
      <w:lvlJc w:val="left"/>
      <w:pPr>
        <w:tabs>
          <w:tab w:val="num" w:pos="6810"/>
        </w:tabs>
        <w:ind w:left="6810" w:hanging="360"/>
      </w:pPr>
      <w:rPr>
        <w:rFonts w:ascii="Wingdings" w:hAnsi="Wingdings" w:cs="Wingdings" w:hint="default"/>
        <w:sz w:val="20"/>
      </w:rPr>
    </w:lvl>
    <w:lvl w:ilvl="8">
      <w:start w:val="1"/>
      <w:numFmt w:val="bullet"/>
      <w:lvlText w:val=""/>
      <w:lvlJc w:val="left"/>
      <w:pPr>
        <w:tabs>
          <w:tab w:val="num" w:pos="7530"/>
        </w:tabs>
        <w:ind w:left="7530" w:hanging="360"/>
      </w:pPr>
      <w:rPr>
        <w:rFonts w:ascii="Wingdings" w:hAnsi="Wingdings" w:cs="Wingdings"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013f"/>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3">
    <w:name w:val="Heading 3"/>
    <w:basedOn w:val="Normal"/>
    <w:link w:val="Nagwek3Znak"/>
    <w:uiPriority w:val="9"/>
    <w:qFormat/>
    <w:rsid w:val="0013218f"/>
    <w:pPr>
      <w:spacing w:lineRule="auto" w:line="240" w:beforeAutospacing="1" w:afterAutospacing="1"/>
      <w:outlineLvl w:val="2"/>
    </w:pPr>
    <w:rPr>
      <w:rFonts w:ascii="Times New Roman" w:hAnsi="Times New Roman" w:eastAsia="Times New Roman" w:cs="Times New Roman"/>
      <w:b/>
      <w:bCs/>
      <w:sz w:val="27"/>
      <w:szCs w:val="27"/>
      <w:lang w:eastAsia="pl-PL"/>
    </w:rPr>
  </w:style>
  <w:style w:type="character" w:styleId="DefaultParagraphFont" w:default="1">
    <w:name w:val="Default Paragraph Font"/>
    <w:uiPriority w:val="1"/>
    <w:semiHidden/>
    <w:unhideWhenUsed/>
    <w:qFormat/>
    <w:rPr/>
  </w:style>
  <w:style w:type="character" w:styleId="Fontstyle01" w:customStyle="1">
    <w:name w:val="fontstyle01"/>
    <w:basedOn w:val="DefaultParagraphFont"/>
    <w:qFormat/>
    <w:rsid w:val="00b83ee9"/>
    <w:rPr>
      <w:rFonts w:ascii="TimesNewRomanPSMT" w:hAnsi="TimesNewRomanPSMT"/>
      <w:b w:val="false"/>
      <w:bCs w:val="false"/>
      <w:i w:val="false"/>
      <w:iCs w:val="false"/>
      <w:color w:val="000000"/>
      <w:sz w:val="22"/>
      <w:szCs w:val="22"/>
    </w:rPr>
  </w:style>
  <w:style w:type="character" w:styleId="Strong">
    <w:name w:val="Strong"/>
    <w:basedOn w:val="DefaultParagraphFont"/>
    <w:uiPriority w:val="22"/>
    <w:qFormat/>
    <w:rsid w:val="006f6dd9"/>
    <w:rPr>
      <w:b/>
      <w:bCs/>
    </w:rPr>
  </w:style>
  <w:style w:type="character" w:styleId="Wyrnienie">
    <w:name w:val="Emphasis"/>
    <w:basedOn w:val="DefaultParagraphFont"/>
    <w:uiPriority w:val="20"/>
    <w:qFormat/>
    <w:rsid w:val="00a10db8"/>
    <w:rPr>
      <w:i/>
      <w:iCs/>
    </w:rPr>
  </w:style>
  <w:style w:type="character" w:styleId="Nagwek3Znak" w:customStyle="1">
    <w:name w:val="Nagłówek 3 Znak"/>
    <w:basedOn w:val="DefaultParagraphFont"/>
    <w:uiPriority w:val="9"/>
    <w:qFormat/>
    <w:rsid w:val="0013218f"/>
    <w:rPr>
      <w:rFonts w:ascii="Times New Roman" w:hAnsi="Times New Roman" w:eastAsia="Times New Roman" w:cs="Times New Roman"/>
      <w:b/>
      <w:bCs/>
      <w:sz w:val="27"/>
      <w:szCs w:val="27"/>
      <w:lang w:eastAsia="pl-PL"/>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b83ee9"/>
    <w:pPr>
      <w:spacing w:before="0" w:after="160"/>
      <w:ind w:left="720" w:hanging="0"/>
      <w:contextualSpacing/>
    </w:pPr>
    <w:rPr/>
  </w:style>
  <w:style w:type="paragraph" w:styleId="Standard" w:customStyle="1">
    <w:name w:val="Standard"/>
    <w:qFormat/>
    <w:rsid w:val="00b83ee9"/>
    <w:pPr>
      <w:widowControl/>
      <w:suppressAutoHyphens w:val="true"/>
      <w:bidi w:val="0"/>
      <w:spacing w:lineRule="auto" w:line="240" w:before="0" w:after="0"/>
      <w:jc w:val="left"/>
    </w:pPr>
    <w:rPr>
      <w:rFonts w:ascii="Times New Roman" w:hAnsi="Times New Roman" w:eastAsia="Andale Sans UI" w:cs="Tahoma"/>
      <w:color w:val="auto"/>
      <w:kern w:val="2"/>
      <w:sz w:val="24"/>
      <w:szCs w:val="24"/>
      <w:lang w:val="de-DE" w:eastAsia="ja-JP" w:bidi="fa-I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LibreOffice/7.5.4.2$Windows_X86_64 LibreOffice_project/36ccfdc35048b057fd9854c757a8b67ec53977b6</Application>
  <AppVersion>15.0000</AppVersion>
  <Pages>22</Pages>
  <Words>6612</Words>
  <Characters>42831</Characters>
  <CharactersWithSpaces>49195</CharactersWithSpaces>
  <Paragraphs>336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2025-05-18T22:36:00Z</dcterms:created>
  <dc:creator>Różański Maciej</dc:creator>
  <dc:description/>
  <dc:language>pl-PL</dc:language>
  <cp:lastModifiedBy>Różański Maciej</cp:lastModifiedBy>
  <dcterms:modified xsi:type="dcterms:W3CDTF">2025-05-18T22:38:00Z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