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uto" w:line="276"/>
        <w:jc w:val="center"/>
        <w:rPr>
          <w:rFonts w:cs="Times New Roman"/>
          <w:b/>
          <w:bCs/>
          <w:sz w:val="32"/>
          <w:lang w:val="pl-PL"/>
        </w:rPr>
      </w:pPr>
      <w:r>
        <w:rPr>
          <w:rFonts w:cs="Times New Roman"/>
          <w:b/>
          <w:bCs/>
          <w:sz w:val="32"/>
          <w:lang w:val="pl-PL"/>
        </w:rPr>
        <w:t>PROTOKÓŁ NR 10/2025</w:t>
      </w:r>
    </w:p>
    <w:p>
      <w:pPr>
        <w:pStyle w:val="Standard"/>
        <w:spacing w:lineRule="auto" w:line="276"/>
        <w:jc w:val="center"/>
        <w:rPr>
          <w:rFonts w:cs="Times New Roman"/>
          <w:b/>
          <w:bCs/>
          <w:sz w:val="32"/>
          <w:lang w:val="pl-PL"/>
        </w:rPr>
      </w:pPr>
      <w:r>
        <w:rPr>
          <w:rFonts w:cs="Times New Roman"/>
          <w:b/>
          <w:bCs/>
          <w:sz w:val="32"/>
          <w:lang w:val="pl-PL"/>
        </w:rPr>
        <w:t>POSIEDZENIA KOMISJI BUDŻETU I FINANSÓW</w:t>
      </w:r>
    </w:p>
    <w:p>
      <w:pPr>
        <w:pStyle w:val="Standard"/>
        <w:spacing w:lineRule="auto" w:line="276"/>
        <w:jc w:val="center"/>
        <w:rPr>
          <w:rFonts w:cs="Times New Roman"/>
          <w:b/>
          <w:bCs/>
          <w:sz w:val="32"/>
          <w:lang w:val="pl-PL"/>
        </w:rPr>
      </w:pPr>
      <w:r>
        <w:rPr>
          <w:rFonts w:cs="Times New Roman"/>
          <w:b/>
          <w:bCs/>
          <w:sz w:val="32"/>
          <w:lang w:val="pl-PL"/>
        </w:rPr>
        <w:t>Z DNIA 12.02.2025</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 xml:space="preserve">Dnia 12 lutego 2025 o godzinie 17:00 odbyło się posiedzenie Komisji Budżetu i Finansów. </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spacing w:lineRule="auto" w:line="276"/>
        <w:jc w:val="both"/>
        <w:rPr>
          <w:rFonts w:cs="Times New Roman"/>
          <w:b/>
          <w:lang w:val="pl-PL"/>
        </w:rPr>
      </w:pPr>
      <w:r>
        <w:rPr>
          <w:rFonts w:cs="Times New Roman"/>
          <w:b/>
          <w:lang w:val="pl-PL"/>
        </w:rPr>
        <w:t>Porządek obrad:</w:t>
      </w:r>
    </w:p>
    <w:p>
      <w:pPr>
        <w:pStyle w:val="Standard"/>
        <w:numPr>
          <w:ilvl w:val="0"/>
          <w:numId w:val="1"/>
        </w:numPr>
        <w:spacing w:lineRule="auto" w:line="276"/>
        <w:jc w:val="both"/>
        <w:rPr>
          <w:rStyle w:val="Fontstyle01"/>
          <w:rFonts w:ascii="Times New Roman" w:hAnsi="Times New Roman"/>
          <w:color w:val="auto"/>
          <w:sz w:val="24"/>
          <w:szCs w:val="24"/>
        </w:rPr>
      </w:pPr>
      <w:r>
        <w:rPr>
          <w:rStyle w:val="Fontstyle01"/>
          <w:color w:val="auto"/>
          <w:sz w:val="24"/>
          <w:szCs w:val="24"/>
        </w:rPr>
        <w:t>Otwarcie obrad komisji i stwierdzenie quorum.</w:t>
      </w:r>
    </w:p>
    <w:p>
      <w:pPr>
        <w:pStyle w:val="ListParagraph"/>
        <w:numPr>
          <w:ilvl w:val="0"/>
          <w:numId w:val="1"/>
        </w:numPr>
        <w:spacing w:lineRule="auto" w:line="276" w:before="0" w:after="0"/>
        <w:contextualSpacing/>
        <w:jc w:val="both"/>
        <w:rPr>
          <w:rStyle w:val="Fontstyle01"/>
          <w:rFonts w:ascii="Times New Roman" w:hAnsi="Times New Roman"/>
          <w:color w:val="auto"/>
          <w:sz w:val="24"/>
          <w:szCs w:val="24"/>
          <w:lang w:eastAsia="ja-JP" w:bidi="fa-IR"/>
        </w:rPr>
      </w:pPr>
      <w:r>
        <w:rPr>
          <w:rStyle w:val="Fontstyle01"/>
          <w:rFonts w:ascii="Times New Roman" w:hAnsi="Times New Roman"/>
          <w:color w:val="auto"/>
          <w:sz w:val="24"/>
          <w:szCs w:val="24"/>
          <w:lang w:eastAsia="ja-JP" w:bidi="fa-IR"/>
        </w:rPr>
        <w:t>Opiniowanie projektu uchwały w sprawie udzielenia pomocy finansowej Powiatowi Poznańskiemu (na funkcjonowanie izby wytrzeźwień)</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diet miesięcznych dla radnych Rady Miasta Luboń</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ustalenia wysokości stawki za korzystanie przez radnego z samochodu prywatnego w podróży służbowej i zwrotu kosztów przejazdów</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zmiany uchwały budżetowej Miasta Luboń na 2025 rok (wraz z autopoprawką)</w:t>
      </w:r>
    </w:p>
    <w:p>
      <w:pPr>
        <w:pStyle w:val="Standard"/>
        <w:numPr>
          <w:ilvl w:val="0"/>
          <w:numId w:val="1"/>
        </w:numPr>
        <w:spacing w:lineRule="auto" w:line="276"/>
        <w:jc w:val="both"/>
        <w:rPr>
          <w:rStyle w:val="Fontstyle01"/>
          <w:rFonts w:ascii="Times New Roman" w:hAnsi="Times New Roman" w:cs="Times New Roman"/>
          <w:color w:val="auto"/>
          <w:sz w:val="24"/>
          <w:szCs w:val="24"/>
          <w:lang w:val="pl-PL"/>
        </w:rPr>
      </w:pPr>
      <w:r>
        <w:rPr>
          <w:rStyle w:val="Fontstyle01"/>
          <w:rFonts w:cs="Times New Roman"/>
          <w:color w:val="auto"/>
          <w:sz w:val="24"/>
          <w:szCs w:val="24"/>
          <w:lang w:val="pl-PL"/>
        </w:rPr>
        <w:t>Opiniowanie projektu uchwały w sprawie zmiany Wieloletniej Prognozy Finansowej Miasta Luboń na lata 2025–2044</w:t>
      </w:r>
    </w:p>
    <w:p>
      <w:pPr>
        <w:pStyle w:val="ListParagraph"/>
        <w:numPr>
          <w:ilvl w:val="0"/>
          <w:numId w:val="1"/>
        </w:numPr>
        <w:spacing w:lineRule="auto" w:line="276" w:before="0" w:after="0"/>
        <w:contextualSpacing/>
        <w:jc w:val="both"/>
        <w:rPr>
          <w:rStyle w:val="Fontstyle01"/>
          <w:rFonts w:ascii="Times New Roman" w:hAnsi="Times New Roman" w:eastAsia="Andale Sans UI" w:cs="Times New Roman"/>
          <w:color w:val="auto"/>
          <w:kern w:val="2"/>
          <w:sz w:val="24"/>
          <w:szCs w:val="24"/>
          <w:lang w:eastAsia="ja-JP" w:bidi="fa-IR"/>
        </w:rPr>
      </w:pPr>
      <w:r>
        <w:rPr>
          <w:rStyle w:val="Fontstyle01"/>
          <w:rFonts w:eastAsia="Andale Sans UI" w:cs="Times New Roman" w:ascii="Times New Roman" w:hAnsi="Times New Roman"/>
          <w:color w:val="auto"/>
          <w:kern w:val="2"/>
          <w:sz w:val="24"/>
          <w:szCs w:val="24"/>
          <w:lang w:eastAsia="ja-JP" w:bidi="fa-IR"/>
        </w:rPr>
        <w:t>Spotkanie z przedstawicielem Biura Majątku Komunalnego w sprawie zasad przydzielania lokali mieszkalnych – kryteria dochodowe i praktyka stosowania uchwały nr XVI/120/2019</w:t>
      </w:r>
    </w:p>
    <w:p>
      <w:pPr>
        <w:pStyle w:val="ListParagraph"/>
        <w:numPr>
          <w:ilvl w:val="0"/>
          <w:numId w:val="1"/>
        </w:numPr>
        <w:spacing w:lineRule="auto" w:line="276" w:before="0" w:after="0"/>
        <w:contextualSpacing/>
        <w:jc w:val="both"/>
        <w:rPr>
          <w:rStyle w:val="Fontstyle01"/>
          <w:rFonts w:ascii="Times New Roman" w:hAnsi="Times New Roman" w:eastAsia="Andale Sans UI" w:cs="Times New Roman"/>
          <w:bCs/>
          <w:kern w:val="2"/>
          <w:sz w:val="24"/>
          <w:szCs w:val="24"/>
          <w:lang w:eastAsia="ja-JP" w:bidi="fa-IR"/>
        </w:rPr>
      </w:pPr>
      <w:r>
        <w:rPr>
          <w:rStyle w:val="Fontstyle01"/>
          <w:rFonts w:eastAsia="Andale Sans UI" w:cs="Times New Roman" w:ascii="Times New Roman" w:hAnsi="Times New Roman"/>
          <w:bCs/>
          <w:kern w:val="2"/>
          <w:sz w:val="24"/>
          <w:szCs w:val="24"/>
          <w:lang w:eastAsia="ja-JP" w:bidi="fa-IR"/>
        </w:rPr>
        <w:t>Głosowanie nad przyjęciem protokołu nr 8 z dnia 6 listopada 2024</w:t>
      </w:r>
    </w:p>
    <w:p>
      <w:pPr>
        <w:pStyle w:val="Standard"/>
        <w:numPr>
          <w:ilvl w:val="0"/>
          <w:numId w:val="1"/>
        </w:numPr>
        <w:spacing w:lineRule="auto" w:line="276"/>
        <w:jc w:val="both"/>
        <w:rPr>
          <w:rStyle w:val="Fontstyle01"/>
          <w:rFonts w:ascii="Times New Roman" w:hAnsi="Times New Roman" w:cs="Times New Roman"/>
          <w:bCs/>
          <w:sz w:val="24"/>
          <w:szCs w:val="24"/>
          <w:lang w:val="pl-PL"/>
        </w:rPr>
      </w:pPr>
      <w:r>
        <w:rPr>
          <w:rStyle w:val="Fontstyle01"/>
          <w:rFonts w:cs="Times New Roman"/>
          <w:bCs/>
          <w:sz w:val="24"/>
          <w:szCs w:val="24"/>
          <w:lang w:val="pl-PL"/>
        </w:rPr>
        <w:t>Wolne głosy i wnioski</w:t>
      </w:r>
    </w:p>
    <w:p>
      <w:pPr>
        <w:pStyle w:val="Standard"/>
        <w:numPr>
          <w:ilvl w:val="0"/>
          <w:numId w:val="1"/>
        </w:numPr>
        <w:spacing w:lineRule="auto" w:line="276"/>
        <w:jc w:val="both"/>
        <w:rPr>
          <w:rStyle w:val="Fontstyle01"/>
          <w:rFonts w:ascii="Times New Roman" w:hAnsi="Times New Roman" w:cs="Times New Roman"/>
          <w:bCs/>
          <w:sz w:val="24"/>
          <w:szCs w:val="24"/>
          <w:lang w:val="pl-PL"/>
        </w:rPr>
      </w:pPr>
      <w:r>
        <w:rPr>
          <w:rStyle w:val="Fontstyle01"/>
          <w:rFonts w:cs="Times New Roman"/>
          <w:bCs/>
          <w:sz w:val="24"/>
          <w:szCs w:val="24"/>
          <w:lang w:val="pl-PL"/>
        </w:rPr>
        <w:t>Zakończenie posiedzenia</w:t>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spacing w:lineRule="auto" w:line="276"/>
        <w:rPr>
          <w:rFonts w:cs="Times New Roman"/>
          <w:b/>
          <w:bCs/>
          <w:u w:val="single"/>
          <w:lang w:val="pl-PL"/>
        </w:rPr>
      </w:pPr>
      <w:r>
        <w:rPr>
          <w:rFonts w:cs="Times New Roman"/>
          <w:b/>
          <w:bCs/>
          <w:u w:val="single"/>
          <w:lang w:val="pl-PL"/>
        </w:rPr>
        <w:t>Przebieg posiedzenia:</w:t>
      </w:r>
    </w:p>
    <w:p>
      <w:pPr>
        <w:pStyle w:val="Standard"/>
        <w:spacing w:lineRule="auto" w:line="276"/>
        <w:jc w:val="both"/>
        <w:rPr>
          <w:rFonts w:cs="Times New Roman"/>
          <w:lang w:val="pl-PL"/>
        </w:rPr>
      </w:pPr>
      <w:r>
        <w:rPr>
          <w:rFonts w:cs="Times New Roman"/>
          <w:lang w:val="pl-PL"/>
        </w:rPr>
      </w:r>
    </w:p>
    <w:p>
      <w:pPr>
        <w:pStyle w:val="Standard"/>
        <w:numPr>
          <w:ilvl w:val="0"/>
          <w:numId w:val="2"/>
        </w:numPr>
        <w:spacing w:lineRule="auto" w:line="276"/>
        <w:jc w:val="both"/>
        <w:rPr>
          <w:rFonts w:cs="Times New Roman"/>
          <w:b/>
          <w:lang w:val="pl-PL"/>
        </w:rPr>
      </w:pPr>
      <w:r>
        <w:rPr>
          <w:rFonts w:cs="Times New Roman"/>
          <w:b/>
          <w:lang w:val="pl-PL"/>
        </w:rPr>
        <w:t>Otwarcie obrad komisji i stwierdzenie quorum.</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left="708" w:hanging="0"/>
        <w:jc w:val="both"/>
        <w:rPr>
          <w:rFonts w:cs="Times New Roman"/>
          <w:lang w:val="pl-PL"/>
        </w:rPr>
      </w:pPr>
      <w:r>
        <w:rPr>
          <w:rFonts w:cs="Times New Roman"/>
          <w:lang w:val="pl-PL"/>
        </w:rPr>
        <w:t>Obrady rozpoczęły się o godzinie 17:00 i prowadziła je Przewodnicząca Komisji Budżetu i Finansów Pani Katarzyna Ekwińska.</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Przeprowadzono sprawdzenie obecności.</w:t>
      </w:r>
    </w:p>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b/>
          <w:lang w:val="pl-PL"/>
        </w:rPr>
      </w:pPr>
      <w:r>
        <w:rPr>
          <w:rFonts w:cs="Times New Roman"/>
          <w:b/>
          <w:lang w:val="pl-PL"/>
        </w:rPr>
        <w:t>Komisja Budżetu i Finansów</w:t>
      </w:r>
    </w:p>
    <w:p>
      <w:pPr>
        <w:pStyle w:val="Standard"/>
        <w:spacing w:lineRule="auto" w:line="276"/>
        <w:ind w:left="708" w:hanging="0"/>
        <w:jc w:val="both"/>
        <w:rPr>
          <w:rFonts w:cs="Times New Roman"/>
          <w:lang w:val="pl-PL"/>
        </w:rPr>
      </w:pPr>
      <w:r>
        <w:rPr>
          <w:rFonts w:cs="Times New Roman"/>
          <w:lang w:val="pl-PL"/>
        </w:rPr>
        <w:t>Obecnych było 9 członków komisji, nieobecna była 1 osoba (Monika Nawrot), która zgłosiła sekretarzowi komisji, że będzie nieobecna z powodu zwolnienia lekarskiego (L4)</w:t>
      </w:r>
    </w:p>
    <w:p>
      <w:pPr>
        <w:pStyle w:val="Standard"/>
        <w:spacing w:lineRule="auto" w:line="276"/>
        <w:ind w:left="1080" w:hanging="0"/>
        <w:jc w:val="both"/>
        <w:rPr>
          <w:rFonts w:cs="Times New Roman"/>
          <w:lang w:val="pl-PL"/>
        </w:rPr>
      </w:pPr>
      <w:r>
        <w:rPr>
          <w:rFonts w:cs="Times New Roman"/>
          <w:lang w:val="pl-PL"/>
        </w:rPr>
      </w:r>
    </w:p>
    <w:tbl>
      <w:tblPr>
        <w:tblW w:w="8079" w:type="dxa"/>
        <w:jc w:val="left"/>
        <w:tblInd w:w="705" w:type="dxa"/>
        <w:tblLayout w:type="fixed"/>
        <w:tblCellMar>
          <w:top w:w="0" w:type="dxa"/>
          <w:left w:w="70" w:type="dxa"/>
          <w:bottom w:w="0" w:type="dxa"/>
          <w:right w:w="70" w:type="dxa"/>
        </w:tblCellMar>
        <w:tblLook w:firstRow="1" w:noVBand="1" w:lastRow="0" w:firstColumn="1" w:lastColumn="0" w:noHBand="0" w:val="04a0"/>
      </w:tblPr>
      <w:tblGrid>
        <w:gridCol w:w="446"/>
        <w:gridCol w:w="3663"/>
        <w:gridCol w:w="2269"/>
        <w:gridCol w:w="1700"/>
      </w:tblGrid>
      <w:tr>
        <w:trPr>
          <w:trHeight w:val="300" w:hRule="atLeast"/>
        </w:trPr>
        <w:tc>
          <w:tcPr>
            <w:tcW w:w="8078"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Lista Obecności</w:t>
            </w:r>
          </w:p>
        </w:tc>
      </w:tr>
      <w:tr>
        <w:trPr>
          <w:trHeight w:val="300"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l.p.</w:t>
            </w:r>
          </w:p>
        </w:tc>
        <w:tc>
          <w:tcPr>
            <w:tcW w:w="3663"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imię i nazwisko</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stanowisko</w:t>
            </w:r>
          </w:p>
        </w:tc>
        <w:tc>
          <w:tcPr>
            <w:tcW w:w="1700"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obecność</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Katarzyna Ekwińska</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2</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Monika Izabela Nawrot</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wiceprzewodnicząca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nieobecna (L4)</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3</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Maciej Różański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sekretarz</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4</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Karolina Monika Wilczyńska-Kąkol</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5</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Jakub Przemysław Jelinski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6</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Teresa Zygmanowska</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7</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Hieronim Gawelski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8</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Konrad Dominiak</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9</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Elżbieta Zapłata-Szwedziak</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10</w:t>
            </w:r>
          </w:p>
        </w:tc>
        <w:tc>
          <w:tcPr>
            <w:tcW w:w="3663"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Piotr Łukasz Izydorski</w:t>
            </w:r>
          </w:p>
        </w:tc>
        <w:tc>
          <w:tcPr>
            <w:tcW w:w="2269"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bl>
    <w:p>
      <w:pPr>
        <w:pStyle w:val="Standard"/>
        <w:spacing w:lineRule="auto" w:line="276"/>
        <w:ind w:left="1080"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Stwierdzono quorum.</w:t>
      </w:r>
    </w:p>
    <w:p>
      <w:pPr>
        <w:pStyle w:val="Standard"/>
        <w:spacing w:lineRule="auto" w:line="276"/>
        <w:ind w:left="1065" w:hanging="0"/>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t>W obradach gościnnie uczestniczyły następujące osoby:</w:t>
      </w:r>
    </w:p>
    <w:p>
      <w:pPr>
        <w:pStyle w:val="Standard"/>
        <w:spacing w:lineRule="auto" w:line="276"/>
        <w:ind w:firstLine="708"/>
        <w:jc w:val="both"/>
        <w:rPr>
          <w:rFonts w:cs="Times New Roman"/>
          <w:lang w:val="pl-PL"/>
        </w:rPr>
      </w:pPr>
      <w:r>
        <w:rPr>
          <w:rFonts w:cs="Times New Roman"/>
          <w:lang w:val="pl-PL"/>
        </w:rPr>
        <w:t>- Małgorzata Machalska – Burmistrz Miasta Luboń,</w:t>
      </w:r>
    </w:p>
    <w:p>
      <w:pPr>
        <w:pStyle w:val="Standard"/>
        <w:spacing w:lineRule="auto" w:line="276"/>
        <w:ind w:firstLine="708"/>
        <w:jc w:val="both"/>
        <w:rPr>
          <w:rFonts w:cs="Times New Roman"/>
          <w:lang w:val="pl-PL"/>
        </w:rPr>
      </w:pPr>
      <w:r>
        <w:rPr>
          <w:lang w:val="pl-PL"/>
        </w:rPr>
        <w:t>- Dorota Franek</w:t>
      </w:r>
      <w:r>
        <w:rPr>
          <w:rFonts w:cs="Times New Roman"/>
          <w:lang w:val="pl-PL"/>
        </w:rPr>
        <w:t xml:space="preserve"> – Wiceburmistrz Miasta Luboń</w:t>
      </w:r>
    </w:p>
    <w:p>
      <w:pPr>
        <w:pStyle w:val="Standard"/>
        <w:spacing w:lineRule="auto" w:line="276"/>
        <w:ind w:firstLine="708"/>
        <w:jc w:val="both"/>
        <w:rPr>
          <w:rFonts w:cs="Times New Roman"/>
          <w:lang w:val="pl-PL"/>
        </w:rPr>
      </w:pPr>
      <w:r>
        <w:rPr>
          <w:rFonts w:cs="Times New Roman"/>
          <w:lang w:val="pl-PL"/>
        </w:rPr>
        <w:t>- Mirosław Stromczyński – Skarbnik Miasta Luboń.</w:t>
      </w:r>
    </w:p>
    <w:p>
      <w:pPr>
        <w:pStyle w:val="Standard"/>
        <w:spacing w:lineRule="auto" w:line="276"/>
        <w:jc w:val="both"/>
        <w:rPr>
          <w:rFonts w:cs="Times New Roman"/>
          <w:lang w:val="pl-PL"/>
        </w:rPr>
      </w:pPr>
      <w:r>
        <w:rPr>
          <w:rFonts w:cs="Times New Roman"/>
          <w:lang w:val="pl-PL"/>
        </w:rPr>
        <w:tab/>
        <w:t xml:space="preserve">- </w:t>
      </w:r>
      <w:r>
        <w:rPr>
          <w:rFonts w:eastAsia="Times New Roman" w:cs="Times New Roman"/>
          <w:lang w:eastAsia="pl-PL"/>
        </w:rPr>
        <w:t>Dariusz Springer - zastępca dyrektora Biura Majątku Komunalnego (BMK)</w:t>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Standard"/>
        <w:spacing w:lineRule="auto" w:line="276"/>
        <w:ind w:firstLine="708"/>
        <w:jc w:val="both"/>
        <w:rPr>
          <w:rFonts w:cs="Times New Roman"/>
          <w:lang w:val="pl-PL"/>
        </w:rPr>
      </w:pPr>
      <w:r>
        <w:rPr>
          <w:rFonts w:cs="Times New Roman"/>
          <w:lang w:val="pl-PL"/>
        </w:rPr>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2. Opiniowanie projektu uchwały w sprawie udzielenia pomocy finansowej Powiatowi Poznańskiemu (na funkcjonowanie izby wytrzeźwień)</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Pierwszym tematem omawianym podczas posiedzenia Komisji Budżetu i Finansów Rady Miasta Luboń było zaopiniowanie projektu uchwały w sprawie udzielenia pomocy finansowej Powiatowi Poznańskiemu, polegającej na przekazaniu </w:t>
      </w:r>
      <w:r>
        <w:rPr>
          <w:rFonts w:eastAsia="Times New Roman" w:cs="Times New Roman" w:ascii="Times New Roman" w:hAnsi="Times New Roman"/>
          <w:b/>
          <w:bCs/>
          <w:sz w:val="24"/>
          <w:szCs w:val="24"/>
          <w:lang w:eastAsia="pl-PL"/>
        </w:rPr>
        <w:t xml:space="preserve">dotacji celowej </w:t>
        <w:br/>
        <w:t>w wysokości 103 585,00 zł</w:t>
      </w:r>
      <w:r>
        <w:rPr>
          <w:rFonts w:eastAsia="Times New Roman" w:cs="Times New Roman" w:ascii="Times New Roman" w:hAnsi="Times New Roman"/>
          <w:sz w:val="24"/>
          <w:szCs w:val="24"/>
          <w:lang w:eastAsia="pl-PL"/>
        </w:rPr>
        <w:t xml:space="preserve"> z budżetu Miasta Luboń na 2025 rok. Środki te mają być przeznaczone na pokrycie części kosztów funkcjonowania izby wytrzeźwień, z której korzystają mieszkańcy gmin powiatu poznańskiego, w tym Lubonia.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Jak zaznaczyła Burmistrz Dorota Franek, tego typu uchwała pojawia się cyklicznie każdego roku, jednak w obecnym projekcie odnotowano </w:t>
      </w:r>
      <w:r>
        <w:rPr>
          <w:rFonts w:eastAsia="Times New Roman" w:cs="Times New Roman" w:ascii="Times New Roman" w:hAnsi="Times New Roman"/>
          <w:b/>
          <w:bCs/>
          <w:sz w:val="24"/>
          <w:szCs w:val="24"/>
          <w:lang w:eastAsia="pl-PL"/>
        </w:rPr>
        <w:t>zwiększenie kwoty o 9,9%</w:t>
      </w:r>
      <w:r>
        <w:rPr>
          <w:rFonts w:eastAsia="Times New Roman" w:cs="Times New Roman" w:ascii="Times New Roman" w:hAnsi="Times New Roman"/>
          <w:sz w:val="24"/>
          <w:szCs w:val="24"/>
          <w:lang w:eastAsia="pl-PL"/>
        </w:rPr>
        <w:t xml:space="preserve"> w porównaniu z rokiem 2024. Wówczas Luboń przekazał na ten cel </w:t>
      </w:r>
      <w:r>
        <w:rPr>
          <w:rFonts w:eastAsia="Times New Roman" w:cs="Times New Roman" w:ascii="Times New Roman" w:hAnsi="Times New Roman"/>
          <w:b/>
          <w:bCs/>
          <w:sz w:val="24"/>
          <w:szCs w:val="24"/>
          <w:lang w:eastAsia="pl-PL"/>
        </w:rPr>
        <w:t>94 164 zł</w:t>
      </w:r>
      <w:r>
        <w:rPr>
          <w:rFonts w:eastAsia="Times New Roman" w:cs="Times New Roman" w:ascii="Times New Roman" w:hAnsi="Times New Roman"/>
          <w:sz w:val="24"/>
          <w:szCs w:val="24"/>
          <w:lang w:eastAsia="pl-PL"/>
        </w:rPr>
        <w:t xml:space="preserve">, podczas gdy w 2025 roku planowany jest udział miasta na poziomie </w:t>
      </w:r>
      <w:r>
        <w:rPr>
          <w:rFonts w:eastAsia="Times New Roman" w:cs="Times New Roman" w:ascii="Times New Roman" w:hAnsi="Times New Roman"/>
          <w:b/>
          <w:bCs/>
          <w:sz w:val="24"/>
          <w:szCs w:val="24"/>
          <w:lang w:eastAsia="pl-PL"/>
        </w:rPr>
        <w:t>103 585 zł</w:t>
      </w:r>
      <w:r>
        <w:rPr>
          <w:rFonts w:eastAsia="Times New Roman" w:cs="Times New Roman" w:ascii="Times New Roman" w:hAnsi="Times New Roman"/>
          <w:sz w:val="24"/>
          <w:szCs w:val="24"/>
          <w:lang w:eastAsia="pl-PL"/>
        </w:rPr>
        <w:t>. Wzrost ten, jak wyjaśniła Burmistrz, wynika przede wszystkim z rosnących kosztów utrzymania placówki: energii elektrycznej, wody oraz znaczącego wzrostu stawek wynagrodzenia dla personelu medycznego.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kontekście wynagrodzeń wskazano, że lekarze pełniący dyżury w izbie wytrzeźwień dotychczas otrzymywali </w:t>
      </w:r>
      <w:r>
        <w:rPr>
          <w:rFonts w:eastAsia="Times New Roman" w:cs="Times New Roman" w:ascii="Times New Roman" w:hAnsi="Times New Roman"/>
          <w:b/>
          <w:bCs/>
          <w:sz w:val="24"/>
          <w:szCs w:val="24"/>
          <w:lang w:eastAsia="pl-PL"/>
        </w:rPr>
        <w:t>120 zł za godzinę pracy</w:t>
      </w:r>
      <w:r>
        <w:rPr>
          <w:rFonts w:eastAsia="Times New Roman" w:cs="Times New Roman" w:ascii="Times New Roman" w:hAnsi="Times New Roman"/>
          <w:sz w:val="24"/>
          <w:szCs w:val="24"/>
          <w:lang w:eastAsia="pl-PL"/>
        </w:rPr>
        <w:t xml:space="preserve">, obecnie stawka ta w MONARZE wynosi już </w:t>
      </w:r>
      <w:r>
        <w:rPr>
          <w:rFonts w:eastAsia="Times New Roman" w:cs="Times New Roman" w:ascii="Times New Roman" w:hAnsi="Times New Roman"/>
          <w:b/>
          <w:bCs/>
          <w:sz w:val="24"/>
          <w:szCs w:val="24"/>
          <w:lang w:eastAsia="pl-PL"/>
        </w:rPr>
        <w:t>250 zł/h</w:t>
      </w:r>
      <w:r>
        <w:rPr>
          <w:rFonts w:eastAsia="Times New Roman" w:cs="Times New Roman" w:ascii="Times New Roman" w:hAnsi="Times New Roman"/>
          <w:sz w:val="24"/>
          <w:szCs w:val="24"/>
          <w:lang w:eastAsia="pl-PL"/>
        </w:rPr>
        <w:t xml:space="preserve">, natomiast minimalna stawka obowiązująca od 2025 roku to </w:t>
      </w:r>
      <w:r>
        <w:rPr>
          <w:rFonts w:eastAsia="Times New Roman" w:cs="Times New Roman" w:ascii="Times New Roman" w:hAnsi="Times New Roman"/>
          <w:b/>
          <w:bCs/>
          <w:sz w:val="24"/>
          <w:szCs w:val="24"/>
          <w:lang w:eastAsia="pl-PL"/>
        </w:rPr>
        <w:t>180 zł/h</w:t>
      </w:r>
      <w:r>
        <w:rPr>
          <w:rFonts w:eastAsia="Times New Roman" w:cs="Times New Roman" w:ascii="Times New Roman" w:hAnsi="Times New Roman"/>
          <w:sz w:val="24"/>
          <w:szCs w:val="24"/>
          <w:lang w:eastAsia="pl-PL"/>
        </w:rPr>
        <w:t xml:space="preserve">. Te koszty zostały również odzwierciedlone w globalnym budżecie funkcjonowania izby wytrzeźwień, który w 2025 roku ma wynieść </w:t>
      </w:r>
      <w:r>
        <w:rPr>
          <w:rFonts w:eastAsia="Times New Roman" w:cs="Times New Roman" w:ascii="Times New Roman" w:hAnsi="Times New Roman"/>
          <w:b/>
          <w:bCs/>
          <w:sz w:val="24"/>
          <w:szCs w:val="24"/>
          <w:lang w:eastAsia="pl-PL"/>
        </w:rPr>
        <w:t>1 615 406 zł</w:t>
      </w:r>
      <w:r>
        <w:rPr>
          <w:rFonts w:eastAsia="Times New Roman" w:cs="Times New Roman" w:ascii="Times New Roman" w:hAnsi="Times New Roman"/>
          <w:sz w:val="24"/>
          <w:szCs w:val="24"/>
          <w:lang w:eastAsia="pl-PL"/>
        </w:rPr>
        <w:t xml:space="preserve">. Z tej sumy </w:t>
      </w:r>
      <w:r>
        <w:rPr>
          <w:rFonts w:eastAsia="Times New Roman" w:cs="Times New Roman" w:ascii="Times New Roman" w:hAnsi="Times New Roman"/>
          <w:b/>
          <w:bCs/>
          <w:sz w:val="24"/>
          <w:szCs w:val="24"/>
          <w:lang w:eastAsia="pl-PL"/>
        </w:rPr>
        <w:t>Powiat Poznański zabezpiecza kwotę 200 000 zł</w:t>
      </w:r>
      <w:r>
        <w:rPr>
          <w:rFonts w:eastAsia="Times New Roman" w:cs="Times New Roman" w:ascii="Times New Roman" w:hAnsi="Times New Roman"/>
          <w:sz w:val="24"/>
          <w:szCs w:val="24"/>
          <w:lang w:eastAsia="pl-PL"/>
        </w:rPr>
        <w:t xml:space="preserve">, natomiast pozostałe środki dzielone </w:t>
        <w:br/>
        <w:t>są między 17 gmin powiatu, zgodnie z liczbą mieszkańców danej gminy, bazując na danych GUS z dnia 31 grudnia 2023 r.</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Dla mieszkańców Lubonia koszt udziału w funkcjonowaniu izby wytrzeźwień przeliczony na osobę wynosi ok. </w:t>
      </w:r>
      <w:r>
        <w:rPr>
          <w:rFonts w:eastAsia="Times New Roman" w:cs="Times New Roman" w:ascii="Times New Roman" w:hAnsi="Times New Roman"/>
          <w:b/>
          <w:bCs/>
          <w:sz w:val="24"/>
          <w:szCs w:val="24"/>
          <w:lang w:eastAsia="pl-PL"/>
        </w:rPr>
        <w:t>3,60 zł rocznie</w:t>
      </w:r>
      <w:r>
        <w:rPr>
          <w:rFonts w:eastAsia="Times New Roman" w:cs="Times New Roman" w:ascii="Times New Roman" w:hAnsi="Times New Roman"/>
          <w:sz w:val="24"/>
          <w:szCs w:val="24"/>
          <w:lang w:eastAsia="pl-PL"/>
        </w:rPr>
        <w:t xml:space="preserve">, co – jak wskazała Burmistrz – nie jest kwotą wygórowaną, biorąc pod uwagę zakres usług świadczonych przez placówkę. W izbie wytrzeźwień można zapewnić jednocześnie pobyt </w:t>
      </w:r>
      <w:r>
        <w:rPr>
          <w:rFonts w:eastAsia="Times New Roman" w:cs="Times New Roman" w:ascii="Times New Roman" w:hAnsi="Times New Roman"/>
          <w:b/>
          <w:bCs/>
          <w:sz w:val="24"/>
          <w:szCs w:val="24"/>
          <w:lang w:eastAsia="pl-PL"/>
        </w:rPr>
        <w:t>do 7 osób dziennie</w:t>
      </w:r>
      <w:r>
        <w:rPr>
          <w:rFonts w:eastAsia="Times New Roman" w:cs="Times New Roman" w:ascii="Times New Roman" w:hAnsi="Times New Roman"/>
          <w:sz w:val="24"/>
          <w:szCs w:val="24"/>
          <w:lang w:eastAsia="pl-PL"/>
        </w:rPr>
        <w:t xml:space="preserve"> z całego powiatu. Do głównych funkcji izby należy zapewnienie bezpiecznego wytrzeźwienia osobom doprowadzonym przez policję, udostępnienie warunków higienicznych (łącznie z wymianą odzieży), opieka medyczna, działania informacyjne dotyczące szkodliwości nadużywania alkoholu oraz możliwości wyjścia z uzależnień </w:t>
        <w:br/>
        <w:t>i bezdomności.</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odniesieniu do danych statystycznych Burmistrz Dorota Franek poinformowała, </w:t>
        <w:br/>
        <w:t xml:space="preserve">że z izby wytrzeźwień w roku </w:t>
      </w:r>
      <w:r>
        <w:rPr>
          <w:rFonts w:eastAsia="Times New Roman" w:cs="Times New Roman" w:ascii="Times New Roman" w:hAnsi="Times New Roman"/>
          <w:b/>
          <w:bCs/>
          <w:sz w:val="24"/>
          <w:szCs w:val="24"/>
          <w:lang w:eastAsia="pl-PL"/>
        </w:rPr>
        <w:t>2023 skorzystały 122 osoby z Lubonia</w:t>
      </w:r>
      <w:r>
        <w:rPr>
          <w:rFonts w:eastAsia="Times New Roman" w:cs="Times New Roman" w:ascii="Times New Roman" w:hAnsi="Times New Roman"/>
          <w:sz w:val="24"/>
          <w:szCs w:val="24"/>
          <w:lang w:eastAsia="pl-PL"/>
        </w:rPr>
        <w:t xml:space="preserve">, natomiast </w:t>
        <w:br/>
        <w:t xml:space="preserve">w całym </w:t>
      </w:r>
      <w:r>
        <w:rPr>
          <w:rFonts w:eastAsia="Times New Roman" w:cs="Times New Roman" w:ascii="Times New Roman" w:hAnsi="Times New Roman"/>
          <w:b/>
          <w:bCs/>
          <w:sz w:val="24"/>
          <w:szCs w:val="24"/>
          <w:lang w:eastAsia="pl-PL"/>
        </w:rPr>
        <w:t>roku 2024 było to 101 osób</w:t>
      </w:r>
      <w:r>
        <w:rPr>
          <w:rFonts w:eastAsia="Times New Roman" w:cs="Times New Roman" w:ascii="Times New Roman" w:hAnsi="Times New Roman"/>
          <w:sz w:val="24"/>
          <w:szCs w:val="24"/>
          <w:lang w:eastAsia="pl-PL"/>
        </w:rPr>
        <w:t xml:space="preserve">, co oznacza spadek o </w:t>
      </w:r>
      <w:r>
        <w:rPr>
          <w:rFonts w:eastAsia="Times New Roman" w:cs="Times New Roman" w:ascii="Times New Roman" w:hAnsi="Times New Roman"/>
          <w:b/>
          <w:bCs/>
          <w:sz w:val="24"/>
          <w:szCs w:val="24"/>
          <w:lang w:eastAsia="pl-PL"/>
        </w:rPr>
        <w:t>21 przypadków</w:t>
      </w:r>
      <w:r>
        <w:rPr>
          <w:rFonts w:eastAsia="Times New Roman" w:cs="Times New Roman" w:ascii="Times New Roman" w:hAnsi="Times New Roman"/>
          <w:sz w:val="24"/>
          <w:szCs w:val="24"/>
          <w:lang w:eastAsia="pl-PL"/>
        </w:rPr>
        <w:t xml:space="preserve">. Największą liczbę doprowadzeń odnotowano w czerwcu 2023 roku – </w:t>
      </w:r>
      <w:r>
        <w:rPr>
          <w:rFonts w:eastAsia="Times New Roman" w:cs="Times New Roman" w:ascii="Times New Roman" w:hAnsi="Times New Roman"/>
          <w:b/>
          <w:bCs/>
          <w:sz w:val="24"/>
          <w:szCs w:val="24"/>
          <w:lang w:eastAsia="pl-PL"/>
        </w:rPr>
        <w:t>14 osób</w:t>
      </w:r>
      <w:r>
        <w:rPr>
          <w:rFonts w:eastAsia="Times New Roman" w:cs="Times New Roman" w:ascii="Times New Roman" w:hAnsi="Times New Roman"/>
          <w:sz w:val="24"/>
          <w:szCs w:val="24"/>
          <w:lang w:eastAsia="pl-PL"/>
        </w:rPr>
        <w:t xml:space="preserve">, </w:t>
        <w:br/>
        <w:t xml:space="preserve">co, zdaniem Burmistrz, mogło mieć związek z odbywającymi się w tym okresie </w:t>
      </w:r>
      <w:r>
        <w:rPr>
          <w:rFonts w:eastAsia="Times New Roman" w:cs="Times New Roman" w:ascii="Times New Roman" w:hAnsi="Times New Roman"/>
          <w:b/>
          <w:bCs/>
          <w:sz w:val="24"/>
          <w:szCs w:val="24"/>
          <w:lang w:eastAsia="pl-PL"/>
        </w:rPr>
        <w:t>Dniami Lubonia</w:t>
      </w:r>
      <w:r>
        <w:rPr>
          <w:rFonts w:eastAsia="Times New Roman" w:cs="Times New Roman" w:ascii="Times New Roman" w:hAnsi="Times New Roman"/>
          <w:sz w:val="24"/>
          <w:szCs w:val="24"/>
          <w:lang w:eastAsia="pl-PL"/>
        </w:rPr>
        <w:t xml:space="preserve"> oraz zakończeniem roku szkolnego, co zwykle wiąże się z większą liczbą spotkań towarzyskich i okazji do spożywania alkoholu. Dodatkowo wskazano, </w:t>
        <w:br/>
        <w:t xml:space="preserve">że decyzję o umieszczeniu osoby w izbie wytrzeźwień podejmuje </w:t>
      </w:r>
      <w:r>
        <w:rPr>
          <w:rFonts w:eastAsia="Times New Roman" w:cs="Times New Roman" w:ascii="Times New Roman" w:hAnsi="Times New Roman"/>
          <w:b/>
          <w:bCs/>
          <w:sz w:val="24"/>
          <w:szCs w:val="24"/>
          <w:lang w:eastAsia="pl-PL"/>
        </w:rPr>
        <w:t>Policja</w:t>
      </w:r>
      <w:r>
        <w:rPr>
          <w:rFonts w:eastAsia="Times New Roman" w:cs="Times New Roman" w:ascii="Times New Roman" w:hAnsi="Times New Roman"/>
          <w:sz w:val="24"/>
          <w:szCs w:val="24"/>
          <w:lang w:eastAsia="pl-PL"/>
        </w:rPr>
        <w:t xml:space="preserve">, </w:t>
        <w:br/>
        <w:t>a nie samorząd lokalny.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Członkowie komisji, </w:t>
      </w:r>
      <w:r>
        <w:rPr>
          <w:rFonts w:eastAsia="Times New Roman" w:cs="Times New Roman" w:ascii="Times New Roman" w:hAnsi="Times New Roman"/>
          <w:b/>
          <w:bCs/>
          <w:sz w:val="24"/>
          <w:szCs w:val="24"/>
          <w:lang w:eastAsia="pl-PL"/>
        </w:rPr>
        <w:t>Konrad Dominiak oraz Maciej Różański</w:t>
      </w:r>
      <w:r>
        <w:rPr>
          <w:rFonts w:eastAsia="Times New Roman" w:cs="Times New Roman" w:ascii="Times New Roman" w:hAnsi="Times New Roman"/>
          <w:sz w:val="24"/>
          <w:szCs w:val="24"/>
          <w:lang w:eastAsia="pl-PL"/>
        </w:rPr>
        <w:t xml:space="preserve">, wyrazili zainteresowanie sytuacją w innych gminach – padły pytania o to, czy Luboń „dopłaca do interesu”, a także czy liczba osób korzystających z izby jest współmierna do ponoszonych kosztów. W odpowiedzi Burmistrz przekazała, że w </w:t>
      </w:r>
      <w:r>
        <w:rPr>
          <w:rFonts w:eastAsia="Times New Roman" w:cs="Times New Roman" w:ascii="Times New Roman" w:hAnsi="Times New Roman"/>
          <w:b/>
          <w:bCs/>
          <w:sz w:val="24"/>
          <w:szCs w:val="24"/>
          <w:lang w:eastAsia="pl-PL"/>
        </w:rPr>
        <w:t>Swarzędzu w 2023 roku z izby skorzystały aż 262 osoby</w:t>
      </w:r>
      <w:r>
        <w:rPr>
          <w:rFonts w:eastAsia="Times New Roman" w:cs="Times New Roman" w:ascii="Times New Roman" w:hAnsi="Times New Roman"/>
          <w:sz w:val="24"/>
          <w:szCs w:val="24"/>
          <w:lang w:eastAsia="pl-PL"/>
        </w:rPr>
        <w:t xml:space="preserve">, a w </w:t>
      </w:r>
      <w:r>
        <w:rPr>
          <w:rFonts w:eastAsia="Times New Roman" w:cs="Times New Roman" w:ascii="Times New Roman" w:hAnsi="Times New Roman"/>
          <w:b/>
          <w:bCs/>
          <w:sz w:val="24"/>
          <w:szCs w:val="24"/>
          <w:lang w:eastAsia="pl-PL"/>
        </w:rPr>
        <w:t>Puszczykowie – tylko 35</w:t>
      </w:r>
      <w:r>
        <w:rPr>
          <w:rFonts w:eastAsia="Times New Roman" w:cs="Times New Roman" w:ascii="Times New Roman" w:hAnsi="Times New Roman"/>
          <w:sz w:val="24"/>
          <w:szCs w:val="24"/>
          <w:lang w:eastAsia="pl-PL"/>
        </w:rPr>
        <w:t>, co wynika m.in. z różnic w liczbie mieszkańców.</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 zakończeniu dyskusji przeprowadzono głosowanie. </w:t>
      </w:r>
      <w:r>
        <w:rPr>
          <w:rFonts w:eastAsia="Times New Roman" w:cs="Times New Roman" w:ascii="Times New Roman" w:hAnsi="Times New Roman"/>
          <w:b/>
          <w:bCs/>
          <w:sz w:val="24"/>
          <w:szCs w:val="24"/>
          <w:lang w:eastAsia="pl-PL"/>
        </w:rPr>
        <w:t>Za pozytywnym zaopiniowaniem projektu uchwały głosowało 9 radnych</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Nikt nie był przeciwny, nikt nie wstrzymał się od głosu</w:t>
      </w:r>
      <w:r>
        <w:rPr>
          <w:rFonts w:eastAsia="Times New Roman" w:cs="Times New Roman" w:ascii="Times New Roman" w:hAnsi="Times New Roman"/>
          <w:sz w:val="24"/>
          <w:szCs w:val="24"/>
          <w:lang w:eastAsia="pl-PL"/>
        </w:rPr>
        <w:t xml:space="preserve">. Poinformowano również, że </w:t>
      </w:r>
      <w:r>
        <w:rPr>
          <w:rFonts w:eastAsia="Times New Roman" w:cs="Times New Roman" w:ascii="Times New Roman" w:hAnsi="Times New Roman"/>
          <w:b/>
          <w:bCs/>
          <w:sz w:val="24"/>
          <w:szCs w:val="24"/>
          <w:lang w:eastAsia="pl-PL"/>
        </w:rPr>
        <w:t>radna Monika Nawrot</w:t>
      </w:r>
      <w:r>
        <w:rPr>
          <w:rFonts w:eastAsia="Times New Roman" w:cs="Times New Roman" w:ascii="Times New Roman" w:hAnsi="Times New Roman"/>
          <w:sz w:val="24"/>
          <w:szCs w:val="24"/>
          <w:lang w:eastAsia="pl-PL"/>
        </w:rPr>
        <w:t xml:space="preserve"> jest </w:t>
      </w:r>
      <w:r>
        <w:rPr>
          <w:rFonts w:eastAsia="Times New Roman" w:cs="Times New Roman" w:ascii="Times New Roman" w:hAnsi="Times New Roman"/>
          <w:b/>
          <w:bCs/>
          <w:sz w:val="24"/>
          <w:szCs w:val="24"/>
          <w:lang w:eastAsia="pl-PL"/>
        </w:rPr>
        <w:t>nieobecna z powodu zwolnienia lekarskiego (L4)</w:t>
      </w:r>
      <w:r>
        <w:rPr>
          <w:rFonts w:eastAsia="Times New Roman" w:cs="Times New Roman" w:ascii="Times New Roman" w:hAnsi="Times New Roman"/>
          <w:sz w:val="24"/>
          <w:szCs w:val="24"/>
          <w:lang w:eastAsia="pl-PL"/>
        </w:rPr>
        <w:t xml:space="preserve"> i nie będzie obecna także na najbliższej sesji Rady Miasta.</w:t>
      </w:r>
    </w:p>
    <w:p>
      <w:pPr>
        <w:pStyle w:val="Normal"/>
        <w:spacing w:lineRule="auto" w:line="276"/>
        <w:jc w:val="both"/>
        <w:rPr>
          <w:rFonts w:ascii="Times New Roman" w:hAnsi="Times New Roman" w:cs="Times New Roman"/>
        </w:rPr>
      </w:pPr>
      <w:r>
        <w:rPr>
          <w:rFonts w:cs="Times New Roman" w:ascii="Times New Roman" w:hAnsi="Times New Roman"/>
        </w:rPr>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3. Opiniowanie projektu uchwały w sprawie diet miesięcznych dla radnych Rady Miasta Luboń</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kolejnym punkcie posiedzenia Komisji Budżetu i Finansów członkowie komisji przystąpili do analizy i opiniowania projektu uchwały w sprawie diet miesięcznych dla radnych Rady Miasta Luboń. Przewodnicząca Komisji Katarzyna Ekwińska poinformowała, że projekt został przygotowany w związku ze </w:t>
      </w:r>
      <w:r>
        <w:rPr>
          <w:rFonts w:eastAsia="Times New Roman" w:cs="Times New Roman" w:ascii="Times New Roman" w:hAnsi="Times New Roman"/>
          <w:b/>
          <w:bCs/>
          <w:sz w:val="24"/>
          <w:szCs w:val="24"/>
          <w:lang w:eastAsia="pl-PL"/>
        </w:rPr>
        <w:t>skargą Prokuratury Rejonowej Poznań–Wilda</w:t>
      </w:r>
      <w:r>
        <w:rPr>
          <w:rFonts w:eastAsia="Times New Roman" w:cs="Times New Roman" w:ascii="Times New Roman" w:hAnsi="Times New Roman"/>
          <w:sz w:val="24"/>
          <w:szCs w:val="24"/>
          <w:lang w:eastAsia="pl-PL"/>
        </w:rPr>
        <w:t xml:space="preserve">, która zakwestionowała ważność dotychczas obowiązujących uchwał Rady Miasta w sprawie diet z lat 2019 i 2022. Prokuratura zarzuciła istotne naruszenie prawa poprzez </w:t>
      </w:r>
      <w:r>
        <w:rPr>
          <w:rFonts w:eastAsia="Times New Roman" w:cs="Times New Roman" w:ascii="Times New Roman" w:hAnsi="Times New Roman"/>
          <w:b/>
          <w:bCs/>
          <w:sz w:val="24"/>
          <w:szCs w:val="24"/>
          <w:lang w:eastAsia="pl-PL"/>
        </w:rPr>
        <w:t>zaniechanie obowiązku opublikowania uchwał w Dzienniku Urzędowym Województwa Wielkopolskiego</w:t>
      </w:r>
      <w:r>
        <w:rPr>
          <w:rFonts w:eastAsia="Times New Roman" w:cs="Times New Roman" w:ascii="Times New Roman" w:hAnsi="Times New Roman"/>
          <w:sz w:val="24"/>
          <w:szCs w:val="24"/>
          <w:lang w:eastAsia="pl-PL"/>
        </w:rPr>
        <w:t>, mimo że mają one charakter aktów prawa miejscowego.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Przewodnicząca Rady Miasta Teresa Zygmanowska doprecyzowała, że </w:t>
      </w:r>
      <w:r>
        <w:rPr>
          <w:rFonts w:eastAsia="Times New Roman" w:cs="Times New Roman" w:ascii="Times New Roman" w:hAnsi="Times New Roman"/>
          <w:b/>
          <w:bCs/>
          <w:sz w:val="24"/>
          <w:szCs w:val="24"/>
          <w:lang w:eastAsia="pl-PL"/>
        </w:rPr>
        <w:t>treść uchwały w żaden sposób nie ulega zmianie</w:t>
      </w:r>
      <w:r>
        <w:rPr>
          <w:rFonts w:eastAsia="Times New Roman" w:cs="Times New Roman" w:ascii="Times New Roman" w:hAnsi="Times New Roman"/>
          <w:sz w:val="24"/>
          <w:szCs w:val="24"/>
          <w:lang w:eastAsia="pl-PL"/>
        </w:rPr>
        <w:t xml:space="preserve"> – zarówno uchwała z 2025 roku, jak i wcześniejsze (z lat 2019 i 2022) mają tożsame zapisy dotyczące zasad ustalania wysokości diet dla radnych. Zmienia się jedynie forma prawna i tryb publikacji, co wynika z </w:t>
      </w:r>
      <w:r>
        <w:rPr>
          <w:rFonts w:eastAsia="Times New Roman" w:cs="Times New Roman" w:ascii="Times New Roman" w:hAnsi="Times New Roman"/>
          <w:b/>
          <w:bCs/>
          <w:sz w:val="24"/>
          <w:szCs w:val="24"/>
          <w:lang w:eastAsia="pl-PL"/>
        </w:rPr>
        <w:t>orzeczenia Wojewódzkiego Sądu Administracyjnego w Gdańsku z 2024 roku</w:t>
      </w:r>
      <w:r>
        <w:rPr>
          <w:rFonts w:eastAsia="Times New Roman" w:cs="Times New Roman" w:ascii="Times New Roman" w:hAnsi="Times New Roman"/>
          <w:sz w:val="24"/>
          <w:szCs w:val="24"/>
          <w:lang w:eastAsia="pl-PL"/>
        </w:rPr>
        <w:t>, w którym stwierdzono, że uchwały dotyczące diet stanowią akty prawa miejscowego i jako takie muszą być ogłaszane w dziennikach urzędowych województw. Do czasu wydania tego wyroku, przyjęta praktyka – także w Luboniu – nie przewidywała publikacji tego typu uchwał.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związku z wyżej wymienioną skargą prokuratorską, która została już złożona </w:t>
        <w:br/>
        <w:t xml:space="preserve">do </w:t>
      </w:r>
      <w:r>
        <w:rPr>
          <w:rFonts w:eastAsia="Times New Roman" w:cs="Times New Roman" w:ascii="Times New Roman" w:hAnsi="Times New Roman"/>
          <w:b/>
          <w:bCs/>
          <w:sz w:val="24"/>
          <w:szCs w:val="24"/>
          <w:lang w:eastAsia="pl-PL"/>
        </w:rPr>
        <w:t>Wojewódzkiego Sądu Administracyjnego w Poznaniu</w:t>
      </w:r>
      <w:r>
        <w:rPr>
          <w:rFonts w:eastAsia="Times New Roman" w:cs="Times New Roman" w:ascii="Times New Roman" w:hAnsi="Times New Roman"/>
          <w:sz w:val="24"/>
          <w:szCs w:val="24"/>
          <w:lang w:eastAsia="pl-PL"/>
        </w:rPr>
        <w:t xml:space="preserve">, miasto – nie czekając na formalne rozstrzygnięcie – przygotowało nowy projekt uchwały, który </w:t>
      </w:r>
      <w:r>
        <w:rPr>
          <w:rFonts w:eastAsia="Times New Roman" w:cs="Times New Roman" w:ascii="Times New Roman" w:hAnsi="Times New Roman"/>
          <w:b/>
          <w:bCs/>
          <w:sz w:val="24"/>
          <w:szCs w:val="24"/>
          <w:lang w:eastAsia="pl-PL"/>
        </w:rPr>
        <w:t>uchyla dotychczasowe uchwały</w:t>
      </w:r>
      <w:r>
        <w:rPr>
          <w:rFonts w:eastAsia="Times New Roman" w:cs="Times New Roman" w:ascii="Times New Roman" w:hAnsi="Times New Roman"/>
          <w:sz w:val="24"/>
          <w:szCs w:val="24"/>
          <w:lang w:eastAsia="pl-PL"/>
        </w:rPr>
        <w:t xml:space="preserve"> (nr XI/92/2019 i XLI/322/2022), a następnie przyjmuje je </w:t>
        <w:br/>
        <w:t>w identycznym brzmieniu z zamiarem ogłoszenia w trybie przewidzianym dla aktów prawa miejscowego.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w:t>
      </w:r>
      <w:r>
        <w:rPr>
          <w:rFonts w:eastAsia="Times New Roman" w:cs="Times New Roman" w:ascii="Times New Roman" w:hAnsi="Times New Roman"/>
          <w:b/>
          <w:bCs/>
          <w:sz w:val="24"/>
          <w:szCs w:val="24"/>
          <w:lang w:eastAsia="pl-PL"/>
        </w:rPr>
        <w:t>Maciej Różański</w:t>
      </w:r>
      <w:r>
        <w:rPr>
          <w:rFonts w:eastAsia="Times New Roman" w:cs="Times New Roman" w:ascii="Times New Roman" w:hAnsi="Times New Roman"/>
          <w:sz w:val="24"/>
          <w:szCs w:val="24"/>
          <w:lang w:eastAsia="pl-PL"/>
        </w:rPr>
        <w:t xml:space="preserve"> podjął dyskusję z Burmistrz Małgorzatą Machalską </w:t>
        <w:br/>
        <w:t xml:space="preserve">i Przewodniczącą Teresą Zygmanowską, pytając m.in. o skutki prawne unieważnienia uchwał przez sąd. W odpowiedzi wskazano, że nawet jeśli WSA orzeknie nieważność dotychczasowej uchwały, to </w:t>
      </w:r>
      <w:r>
        <w:rPr>
          <w:rFonts w:eastAsia="Times New Roman" w:cs="Times New Roman" w:ascii="Times New Roman" w:hAnsi="Times New Roman"/>
          <w:b/>
          <w:bCs/>
          <w:sz w:val="24"/>
          <w:szCs w:val="24"/>
          <w:lang w:eastAsia="pl-PL"/>
        </w:rPr>
        <w:t>nie działa to z mocą wsteczną</w:t>
      </w:r>
      <w:r>
        <w:rPr>
          <w:rFonts w:eastAsia="Times New Roman" w:cs="Times New Roman" w:ascii="Times New Roman" w:hAnsi="Times New Roman"/>
          <w:sz w:val="24"/>
          <w:szCs w:val="24"/>
          <w:lang w:eastAsia="pl-PL"/>
        </w:rPr>
        <w:t xml:space="preserve"> – wszelkie wypłaty diet dokonane na jej podstawie pozostaną ważne, a nowa uchwała, po publikacji, będzie obowiązywać na przyszłość. Wskazano również, że według opinii radcy prawnego, podjęcie nowej uchwały </w:t>
      </w:r>
      <w:r>
        <w:rPr>
          <w:rFonts w:eastAsia="Times New Roman" w:cs="Times New Roman" w:ascii="Times New Roman" w:hAnsi="Times New Roman"/>
          <w:b/>
          <w:bCs/>
          <w:sz w:val="24"/>
          <w:szCs w:val="24"/>
          <w:lang w:eastAsia="pl-PL"/>
        </w:rPr>
        <w:t>nie wpłynie na tok postępowania przed sądem</w:t>
      </w:r>
      <w:r>
        <w:rPr>
          <w:rFonts w:eastAsia="Times New Roman" w:cs="Times New Roman" w:ascii="Times New Roman" w:hAnsi="Times New Roman"/>
          <w:sz w:val="24"/>
          <w:szCs w:val="24"/>
          <w:lang w:eastAsia="pl-PL"/>
        </w:rPr>
        <w:t>, ale jest zasadne jako element uporządkowania stanu prawnego.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w:t>
      </w:r>
      <w:r>
        <w:rPr>
          <w:rFonts w:eastAsia="Times New Roman" w:cs="Times New Roman" w:ascii="Times New Roman" w:hAnsi="Times New Roman"/>
          <w:b/>
          <w:bCs/>
          <w:sz w:val="24"/>
          <w:szCs w:val="24"/>
          <w:lang w:eastAsia="pl-PL"/>
        </w:rPr>
        <w:t>Konrad Dominiak</w:t>
      </w:r>
      <w:r>
        <w:rPr>
          <w:rFonts w:eastAsia="Times New Roman" w:cs="Times New Roman" w:ascii="Times New Roman" w:hAnsi="Times New Roman"/>
          <w:sz w:val="24"/>
          <w:szCs w:val="24"/>
          <w:lang w:eastAsia="pl-PL"/>
        </w:rPr>
        <w:t xml:space="preserve"> zgłosił uwagę formalną do treści projektu uchwały. Zwrócił uwagę, że w §2 ust. 1 pkt 4 dokumentu wskazano funkcję „</w:t>
      </w:r>
      <w:r>
        <w:rPr>
          <w:rFonts w:eastAsia="Times New Roman" w:cs="Times New Roman" w:ascii="Times New Roman" w:hAnsi="Times New Roman"/>
          <w:b/>
          <w:bCs/>
          <w:sz w:val="24"/>
          <w:szCs w:val="24"/>
          <w:lang w:eastAsia="pl-PL"/>
        </w:rPr>
        <w:t>protokolanta komisji</w:t>
      </w:r>
      <w:r>
        <w:rPr>
          <w:rFonts w:eastAsia="Times New Roman" w:cs="Times New Roman" w:ascii="Times New Roman" w:hAnsi="Times New Roman"/>
          <w:sz w:val="24"/>
          <w:szCs w:val="24"/>
          <w:lang w:eastAsia="pl-PL"/>
        </w:rPr>
        <w:t xml:space="preserve">”, podczas gdy zgodnie z </w:t>
      </w:r>
      <w:r>
        <w:rPr>
          <w:rFonts w:eastAsia="Times New Roman" w:cs="Times New Roman" w:ascii="Times New Roman" w:hAnsi="Times New Roman"/>
          <w:b/>
          <w:bCs/>
          <w:sz w:val="24"/>
          <w:szCs w:val="24"/>
          <w:lang w:eastAsia="pl-PL"/>
        </w:rPr>
        <w:t>art. 72 Statutu Miasta Luboń</w:t>
      </w:r>
      <w:r>
        <w:rPr>
          <w:rFonts w:eastAsia="Times New Roman" w:cs="Times New Roman" w:ascii="Times New Roman" w:hAnsi="Times New Roman"/>
          <w:sz w:val="24"/>
          <w:szCs w:val="24"/>
          <w:lang w:eastAsia="pl-PL"/>
        </w:rPr>
        <w:t xml:space="preserve"> komisje wybierają „</w:t>
      </w:r>
      <w:r>
        <w:rPr>
          <w:rFonts w:eastAsia="Times New Roman" w:cs="Times New Roman" w:ascii="Times New Roman" w:hAnsi="Times New Roman"/>
          <w:b/>
          <w:bCs/>
          <w:sz w:val="24"/>
          <w:szCs w:val="24"/>
          <w:lang w:eastAsia="pl-PL"/>
        </w:rPr>
        <w:t>sekretarzy</w:t>
      </w:r>
      <w:r>
        <w:rPr>
          <w:rFonts w:eastAsia="Times New Roman" w:cs="Times New Roman" w:ascii="Times New Roman" w:hAnsi="Times New Roman"/>
          <w:sz w:val="24"/>
          <w:szCs w:val="24"/>
          <w:lang w:eastAsia="pl-PL"/>
        </w:rPr>
        <w:t xml:space="preserve">”. Radny zasugerował, aby dla zgodności terminologicznej i prawnej z dokumentem nadrzędnym zastosować określenie „sekretarz”. Przewodnicząca Teresa Zygmanowska potwierdziła konieczność tej korekty i zadeklarowała zgłoszenie </w:t>
      </w:r>
      <w:r>
        <w:rPr>
          <w:rFonts w:eastAsia="Times New Roman" w:cs="Times New Roman" w:ascii="Times New Roman" w:hAnsi="Times New Roman"/>
          <w:b/>
          <w:bCs/>
          <w:sz w:val="24"/>
          <w:szCs w:val="24"/>
          <w:lang w:eastAsia="pl-PL"/>
        </w:rPr>
        <w:t>autopoprawki</w:t>
      </w:r>
      <w:r>
        <w:rPr>
          <w:rFonts w:eastAsia="Times New Roman" w:cs="Times New Roman" w:ascii="Times New Roman" w:hAnsi="Times New Roman"/>
          <w:sz w:val="24"/>
          <w:szCs w:val="24"/>
          <w:lang w:eastAsia="pl-PL"/>
        </w:rPr>
        <w:t xml:space="preserve"> na sesji Rady Miasta.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Po zakończeniu dyskusji komisja przystąpiła do głosowania. </w:t>
      </w:r>
      <w:r>
        <w:rPr>
          <w:rFonts w:eastAsia="Times New Roman" w:cs="Times New Roman" w:ascii="Times New Roman" w:hAnsi="Times New Roman"/>
          <w:b/>
          <w:bCs/>
          <w:sz w:val="24"/>
          <w:szCs w:val="24"/>
          <w:lang w:eastAsia="pl-PL"/>
        </w:rPr>
        <w:t>Za pozytywnym zaopiniowaniem projektu uchwały głosowało 8 radnych</w:t>
      </w:r>
      <w:r>
        <w:rPr>
          <w:rFonts w:eastAsia="Times New Roman" w:cs="Times New Roman" w:ascii="Times New Roman" w:hAnsi="Times New Roman"/>
          <w:sz w:val="24"/>
          <w:szCs w:val="24"/>
          <w:lang w:eastAsia="pl-PL"/>
        </w:rPr>
        <w:t xml:space="preserve">, </w:t>
      </w:r>
      <w:r>
        <w:rPr>
          <w:rFonts w:eastAsia="Times New Roman" w:cs="Times New Roman" w:ascii="Times New Roman" w:hAnsi="Times New Roman"/>
          <w:b/>
          <w:bCs/>
          <w:sz w:val="24"/>
          <w:szCs w:val="24"/>
          <w:lang w:eastAsia="pl-PL"/>
        </w:rPr>
        <w:t>przeciw nie było żadnych głosów</w:t>
      </w:r>
      <w:r>
        <w:rPr>
          <w:rFonts w:eastAsia="Times New Roman" w:cs="Times New Roman" w:ascii="Times New Roman" w:hAnsi="Times New Roman"/>
          <w:sz w:val="24"/>
          <w:szCs w:val="24"/>
          <w:lang w:eastAsia="pl-PL"/>
        </w:rPr>
        <w:t xml:space="preserve">, a </w:t>
      </w:r>
      <w:r>
        <w:rPr>
          <w:rFonts w:eastAsia="Times New Roman" w:cs="Times New Roman" w:ascii="Times New Roman" w:hAnsi="Times New Roman"/>
          <w:b/>
          <w:bCs/>
          <w:sz w:val="24"/>
          <w:szCs w:val="24"/>
          <w:lang w:eastAsia="pl-PL"/>
        </w:rPr>
        <w:t>wstrzymał się jeden radny – Maciej Różański</w:t>
      </w:r>
      <w:r>
        <w:rPr>
          <w:rFonts w:eastAsia="Times New Roman" w:cs="Times New Roman" w:ascii="Times New Roman" w:hAnsi="Times New Roman"/>
          <w:sz w:val="24"/>
          <w:szCs w:val="24"/>
          <w:lang w:eastAsia="pl-PL"/>
        </w:rPr>
        <w:t xml:space="preserve">. </w:t>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4. Opiniowanie projektu uchwały w sprawie ustalenia wysokości stawki za korzystanie przez radnego z samochodu prywatnego w podróży służbowej i zwrotu kosztów przejazdów</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czwartym punkcie porządku obrad Komisji Budżetu i Finansów członkowie komisji przystąpili do opiniowania projektu uchwały Rady Miasta Luboń dotyczącej zasad </w:t>
        <w:br/>
        <w:t xml:space="preserve">i wysokości stawek zwrotu kosztów podróży służbowych radnych, w szczególności </w:t>
        <w:br/>
        <w:t>w sytuacjach, gdy radny korzysta z prywatnego pojazdu.</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Jak podkreślono podczas posiedzenia, zaproponowany projekt uchwały w dużej mierze powiela dotychczasowe zapisy obowiązujące w mieście od 2006 roku, niemniej konieczność jego ponownego uchwalenia wynika z pisma Prokuratury Rejonowej Poznań–Wilda z dnia 13 stycznia 2025 r. (sygn. 4244-0.Pa.2.2025), w którym wskazano, że uchwały nr IV/30/2006 z dnia 21 grudnia 2006 r. oraz </w:t>
        <w:br/>
        <w:t>nr XXXIV/206/2009 z dnia 24 września 2009 r. zostały przyjęte z naruszeniem prawa z uwagi na ich nieopublikowanie w Dzienniku Urzędowym Województwa Wielkopolskiego, mimo że stanowią akty prawa miejscowego.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związku z powyższym, aby zapewnić zgodność z przepisami, Rada Miasta Luboń podjęła decyzję o przygotowaniu nowego aktu, który zastąpi poprzednie uchwały </w:t>
        <w:br/>
        <w:t>i zostanie formalnie ogłoszony we właściwym dzienniku urzędowym, co wyeliminuje ryzyko dalszych zarzutów natury prawnej.</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Projekt przewiduje, że zwrot kosztów przejazdu radnego w podróży służbowej prywatnym samochodem odbywa się według stawek za jeden kilometr przebiegu, określonych w aktualnym rozporządzeniu Ministra Infrastruktury:</w:t>
      </w:r>
    </w:p>
    <w:p>
      <w:pPr>
        <w:pStyle w:val="Normal"/>
        <w:numPr>
          <w:ilvl w:val="0"/>
          <w:numId w:val="3"/>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0,89 zł dla samochodów osobowych o pojemności silnika do 900 cm³,</w:t>
      </w:r>
    </w:p>
    <w:p>
      <w:pPr>
        <w:pStyle w:val="Normal"/>
        <w:numPr>
          <w:ilvl w:val="0"/>
          <w:numId w:val="3"/>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1,15 zł dla samochodów osobowych o pojemności silnika powyżej 900 cm³.</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Stawki te będą automatycznie aktualizowane w przypadku zmiany </w:t>
        <w:br/>
        <w:t xml:space="preserve">przepisów na szczeblu krajowym. Projekt zawiera również zapis, zgodnie </w:t>
        <w:br/>
        <w:t xml:space="preserve">z którym polecenie wyjazdu służbowego dla przewodniczącego Rady Miasta </w:t>
        <w:br/>
        <w:t xml:space="preserve">wydaje I Wiceprzewodniczący, a w razie jego nieobecności lub braku </w:t>
        <w:br/>
        <w:t>– II Wiceprzewodniczący.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trakcie dyskusji radny Konrad Dominiak zwrócił uwagę na praktyczne aspekty stosowania §2 uchwały, pytając o procedurę wydawania polecenia wyjazdu służbowego dla przewodniczącego rady oraz o to, czy radni indywidualnie korzystają z podróży służbowych. Na jego pytania odpowiedziała Przewodnicząca Rady Teresa Zygmanowska, wskazując, że takie przypadki występują sporadycznie, najczęściej </w:t>
        <w:br/>
        <w:t xml:space="preserve">w związku z uczestnictwem w szkoleniach, np. organizowanych przez Regionalną Izbę Obrachunkową. Dodała, że wyjazdy radnych mogą również dotyczyć udziału </w:t>
        <w:br/>
        <w:t>w konferencjach, wizytach studyjnych lub kontrolnych powiązanych z pełnionymi funkcjami.</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 zakończeniu wymiany zdań komisja przystąpiła do głosowania. Za pozytywnym zaopiniowaniem projektu uchwały głosowało 9 radnych, nikt nie był przeciw, nikt się nie wstrzymał. Nieobecna była 1 osoba.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5. Rozpatrzenie projektu uchwały w sprawie zmiany uchwały budżetowej Miasta Luboń na 2025 rok (wraz z autopoprawką)</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Komisja przystąpiła do rozpatrzenia projektu uchwały w sprawie zmiany uchwały budżetowej Miasta Luboń na 2025 rok. Skarbnik Miasta Luboń, pan Mirosław Stromczyński, szczegółowo omówił proponowane zmiany zarówno po stronie dochodów, jak i wydatków budżetu, a następnie przedstawił autopoprawkę do projektu uchwały.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Na wstępie Skarbnik poinformował, że w dochodach budżetu wprowadza się środki </w:t>
        <w:br/>
        <w:t xml:space="preserve">z Funduszu Pomocy, przeznaczone m.in. na działania związane z nadaniem numerów PESEL dla obywateli Ukrainy – wraz z kosztami wykonania niezbędnych bezpłatnych fotografii (3.932,19 zł), a także na realizację dodatkowych zadań oświatowych (425.833,20 zł). Do dochodów wprowadzono również wpływy ze sprzedaży energii elektrycznej wyprodukowanej przez szkolne instalacje fotowoltaiczne (17.000,00 zł), </w:t>
        <w:br/>
        <w:t>a także środki na świadczenia społeczne: opłacenie składek zdrowotnych (1.751,67 zł), zasiłki celowe (2.500,00 zł) i zasiłki stałe (4.894,47 zł).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 Funduszu Przeciwdziałania COVID-19 przekazano 10.200,00 zł na refundację kosztów podatku VAT dla gospodarstw domowych korzystających z ogrzewania gazowego.</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dziale „Rodzina” wprowadzono kwotę 378.896,40 zł na realizację III edycji programu „Poprawa dostępu do usług społecznych”, realizowanego przez Miejski Ośrodek Pomocy Społecznej, ze środków unijnych oraz wkładu krajowego, w tym m.in. na wynagrodzenia asystentów rodziny.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dziale 92120 – „Ochrona zabytków i opieka nad zabytkami” – dokonano zmiany klasyfikacji budżetowej: 637.000,00 zł zostało przesunięte z paragrafu 6370 do paragrafu 6090, zgodnie z wytycznymi Regionalnej Izby Obrachunkowej.</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dziale transport zwiększono środki inwestycyjne o 630.000,00 zł – 600.000,00 zł przeznaczono na budowę i modernizację dróg oraz 30.000,00 zł na dokumentacje projektowe. W dziale działalność usługowa przesunięto 21.150,00 zł na opracowanie ogólnego planu zagospodarowania przestrzennego, natomiast w dziale administracja publiczna przeznaczono dodatkowo 25.000,00 zł na opracowanie wniosków </w:t>
        <w:br/>
        <w:t>o dofinansowanie z funduszy europejskich.</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ramach Lubońskiego Budżetu Obywatelskiego zwiększono środki o 15.000,00 zł na zakup sprzętu ratowniczego dla Ochotniczej Straży Pożarnej. W dziale oświata </w:t>
        <w:br/>
        <w:t>i wychowanie zwiększono dotacje oraz wydatki bieżące w szkołach podstawowych, przedszkolach i liceach, a także na zadania wymagające specjalnej organizacji nauczania. Dodatkowo przeznaczono 90.000,00 zł na rozbudowę Przedszkola nr 5.</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dziale pomoc społeczna przesunięto 20.000,00 zł z domów pomocy społecznej do ośrodków wsparcia z przeznaczeniem na dowóz uczestników do Środowiskowych Domów Samopomocy. W dziale gospodarka odpadami zwiększono dotację dla Miasta Poznania o 81.885,91 zł, natomiast w dziale oświetlenie uliczne zabezpieczono 10.000,00 zł na wykonanie dokumentacji projektowej.</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dalszej części Skarbnik przedstawił treść </w:t>
      </w:r>
      <w:r>
        <w:rPr>
          <w:rFonts w:eastAsia="Times New Roman" w:cs="Times New Roman" w:ascii="Times New Roman" w:hAnsi="Times New Roman"/>
          <w:b/>
          <w:bCs/>
          <w:sz w:val="24"/>
          <w:szCs w:val="24"/>
          <w:lang w:eastAsia="pl-PL"/>
        </w:rPr>
        <w:t>autopoprawki</w:t>
      </w:r>
      <w:r>
        <w:rPr>
          <w:rFonts w:eastAsia="Times New Roman" w:cs="Times New Roman" w:ascii="Times New Roman" w:hAnsi="Times New Roman"/>
          <w:sz w:val="24"/>
          <w:szCs w:val="24"/>
          <w:lang w:eastAsia="pl-PL"/>
        </w:rPr>
        <w:t xml:space="preserve"> do uchwały. W jej ramach do budżetu wprowadzono środki z </w:t>
      </w:r>
      <w:r>
        <w:rPr>
          <w:rFonts w:eastAsia="Times New Roman" w:cs="Times New Roman" w:ascii="Times New Roman" w:hAnsi="Times New Roman"/>
          <w:b/>
          <w:bCs/>
          <w:sz w:val="24"/>
          <w:szCs w:val="24"/>
          <w:lang w:eastAsia="pl-PL"/>
        </w:rPr>
        <w:t>Rządowego Funduszu Rozwoju Dróg</w:t>
      </w:r>
      <w:r>
        <w:rPr>
          <w:rFonts w:eastAsia="Times New Roman" w:cs="Times New Roman" w:ascii="Times New Roman" w:hAnsi="Times New Roman"/>
          <w:sz w:val="24"/>
          <w:szCs w:val="24"/>
          <w:lang w:eastAsia="pl-PL"/>
        </w:rPr>
        <w:t xml:space="preserve"> na realizację inwestycji pod nazwą </w:t>
      </w:r>
      <w:r>
        <w:rPr>
          <w:rFonts w:eastAsia="Times New Roman" w:cs="Times New Roman" w:ascii="Times New Roman" w:hAnsi="Times New Roman"/>
          <w:b/>
          <w:bCs/>
          <w:sz w:val="24"/>
          <w:szCs w:val="24"/>
          <w:lang w:eastAsia="pl-PL"/>
        </w:rPr>
        <w:t>„Budowa ul. Kopernika w Luboniu”</w:t>
      </w:r>
      <w:r>
        <w:rPr>
          <w:rFonts w:eastAsia="Times New Roman" w:cs="Times New Roman" w:ascii="Times New Roman" w:hAnsi="Times New Roman"/>
          <w:sz w:val="24"/>
          <w:szCs w:val="24"/>
          <w:lang w:eastAsia="pl-PL"/>
        </w:rPr>
        <w:t>:</w:t>
      </w:r>
    </w:p>
    <w:p>
      <w:pPr>
        <w:pStyle w:val="Normal"/>
        <w:numPr>
          <w:ilvl w:val="0"/>
          <w:numId w:val="4"/>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585.861,63 zł w dziale 60016 – drogi publiczne gminne,</w:t>
      </w:r>
    </w:p>
    <w:p>
      <w:pPr>
        <w:pStyle w:val="Normal"/>
        <w:numPr>
          <w:ilvl w:val="0"/>
          <w:numId w:val="4"/>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443.529,32 zł w dziale 90001 – gospodarka ściekowa i ochrona wód.</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 stronie wydatków odpowiednio zwiększono środki na realizację zadania:</w:t>
      </w:r>
    </w:p>
    <w:p>
      <w:pPr>
        <w:pStyle w:val="Normal"/>
        <w:numPr>
          <w:ilvl w:val="0"/>
          <w:numId w:val="5"/>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dziale 60016 – do 1.233.239,22 zł (zmniejszając wcześniej planowane ogólne zadanie drogowe o 647.377,59 zł),</w:t>
      </w:r>
    </w:p>
    <w:p>
      <w:pPr>
        <w:pStyle w:val="Normal"/>
        <w:numPr>
          <w:ilvl w:val="0"/>
          <w:numId w:val="5"/>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dziale 90001 – do 944.986,65 zł (kosztem zmniejszenia zadania „Uregulowanie gospodarki wód opadowych” o 501.457,33 zł).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Zadanie „Budowa ul. Kopernika w Luboniu” zostało również wprowadzone do Wieloletniej Prognozy Finansowej jako nowe przedsięwzięcie z limitem wydatków na rok 2025 – 2.178.225,87 zł oraz na rok 2026 – 1.742.994,53 zł, łączne nakłady wynoszą 3.921.220,40 zł.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Autopoprawka przewiduje także zwiększenie środków z Funduszu Pomocy na zadania oświatowe o </w:t>
      </w:r>
      <w:r>
        <w:rPr>
          <w:rFonts w:eastAsia="Times New Roman" w:cs="Times New Roman" w:ascii="Times New Roman" w:hAnsi="Times New Roman"/>
          <w:b/>
          <w:bCs/>
          <w:sz w:val="24"/>
          <w:szCs w:val="24"/>
          <w:lang w:eastAsia="pl-PL"/>
        </w:rPr>
        <w:t>803.536,74 zł</w:t>
      </w:r>
      <w:r>
        <w:rPr>
          <w:rFonts w:eastAsia="Times New Roman" w:cs="Times New Roman" w:ascii="Times New Roman" w:hAnsi="Times New Roman"/>
          <w:sz w:val="24"/>
          <w:szCs w:val="24"/>
          <w:lang w:eastAsia="pl-PL"/>
        </w:rPr>
        <w:t>, rozdzielone na:</w:t>
      </w:r>
    </w:p>
    <w:p>
      <w:pPr>
        <w:pStyle w:val="Normal"/>
        <w:numPr>
          <w:ilvl w:val="0"/>
          <w:numId w:val="6"/>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szkoły podstawowe – 723.183,03 zł,</w:t>
      </w:r>
    </w:p>
    <w:p>
      <w:pPr>
        <w:pStyle w:val="Normal"/>
        <w:numPr>
          <w:ilvl w:val="0"/>
          <w:numId w:val="6"/>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przedszkola – 49.448,43 zł,</w:t>
      </w:r>
    </w:p>
    <w:p>
      <w:pPr>
        <w:pStyle w:val="Normal"/>
        <w:numPr>
          <w:ilvl w:val="0"/>
          <w:numId w:val="6"/>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licea – 12.362,13 zł,</w:t>
      </w:r>
    </w:p>
    <w:p>
      <w:pPr>
        <w:pStyle w:val="Normal"/>
        <w:numPr>
          <w:ilvl w:val="0"/>
          <w:numId w:val="6"/>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zadania wymagające specjalnej organizacji nauczania – 18.543,15 zł.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Ponadto, w ramach autopoprawki dokonano korekty po stronie dochodów i wydatków w dziale 75011 – Urzędy wojewódzkie – zmniejszając planowane dotacje oraz wynagrodzenia o 8.116,00 zł, zgodnie z informacją od Wojewody Wielkopolskiego.</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Część dyskusyjna: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Radna </w:t>
      </w:r>
      <w:r>
        <w:rPr>
          <w:rFonts w:eastAsia="Times New Roman" w:cs="Times New Roman" w:ascii="Times New Roman" w:hAnsi="Times New Roman"/>
          <w:b/>
          <w:bCs/>
          <w:sz w:val="24"/>
          <w:szCs w:val="24"/>
          <w:lang w:eastAsia="pl-PL"/>
        </w:rPr>
        <w:t>Katarzyna Ekwińska</w:t>
      </w:r>
      <w:r>
        <w:rPr>
          <w:rFonts w:eastAsia="Times New Roman" w:cs="Times New Roman" w:ascii="Times New Roman" w:hAnsi="Times New Roman"/>
          <w:sz w:val="24"/>
          <w:szCs w:val="24"/>
          <w:lang w:eastAsia="pl-PL"/>
        </w:rPr>
        <w:t xml:space="preserve"> zapytała, czego dotyczy zwiększenie środków w rozdziale 92120 – ochrona zabytków, wskazując na kwotę 637.000 zł.</w:t>
        <w:br/>
        <w:t xml:space="preserve">Skarbnik Mirosław Stromczyński wyjaśnił, że jest to jedynie </w:t>
      </w:r>
      <w:r>
        <w:rPr>
          <w:rFonts w:eastAsia="Times New Roman" w:cs="Times New Roman" w:ascii="Times New Roman" w:hAnsi="Times New Roman"/>
          <w:b/>
          <w:bCs/>
          <w:sz w:val="24"/>
          <w:szCs w:val="24"/>
          <w:lang w:eastAsia="pl-PL"/>
        </w:rPr>
        <w:t>zmiana klasyfikacji budżetowej</w:t>
      </w:r>
      <w:r>
        <w:rPr>
          <w:rFonts w:eastAsia="Times New Roman" w:cs="Times New Roman" w:ascii="Times New Roman" w:hAnsi="Times New Roman"/>
          <w:sz w:val="24"/>
          <w:szCs w:val="24"/>
          <w:lang w:eastAsia="pl-PL"/>
        </w:rPr>
        <w:t xml:space="preserve"> – przesunięcie z paragrafu 6370 do 6090, zgodnie ze wskazaniem Regionalnej Izby Obrachunkowej. Nie jest to nowe zwiększenie, lecz dostosowanie zapisu do obowiązujących przepisów.</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w:t>
      </w:r>
      <w:r>
        <w:rPr>
          <w:rFonts w:eastAsia="Times New Roman" w:cs="Times New Roman" w:ascii="Times New Roman" w:hAnsi="Times New Roman"/>
          <w:b/>
          <w:bCs/>
          <w:sz w:val="24"/>
          <w:szCs w:val="24"/>
          <w:lang w:eastAsia="pl-PL"/>
        </w:rPr>
        <w:t>Maciej Różański</w:t>
      </w:r>
      <w:r>
        <w:rPr>
          <w:rFonts w:eastAsia="Times New Roman" w:cs="Times New Roman" w:ascii="Times New Roman" w:hAnsi="Times New Roman"/>
          <w:sz w:val="24"/>
          <w:szCs w:val="24"/>
          <w:lang w:eastAsia="pl-PL"/>
        </w:rPr>
        <w:t xml:space="preserve"> dopytał, jakiej ulicy dotyczy dokumentacja projektowa ujęta w budżecie w wysokości 10.000 zł na oświetlenie uliczne.</w:t>
        <w:br/>
      </w:r>
      <w:r>
        <w:rPr>
          <w:rFonts w:eastAsia="Times New Roman" w:cs="Times New Roman" w:ascii="Times New Roman" w:hAnsi="Times New Roman"/>
          <w:b/>
          <w:bCs/>
          <w:sz w:val="24"/>
          <w:szCs w:val="24"/>
          <w:lang w:eastAsia="pl-PL"/>
        </w:rPr>
        <w:t>Skarbnik odpowiedział, że po sprawdzeniu uzasadnienia do projektu uchwały potwierdził, iż dokumentacja projektowa dotyczy skrzyżowania ulic Lemańskiego i Dąbrowskiego, znajdującego się w bezpośrednim sąsiedztwie Zespołu Szkół.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Przewodnicząca komisji zapytała, czy są jeszcze inne pytania – nie zgłoszono kolejnych uwag.</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Głosowanie:</w:t>
      </w:r>
      <w:r>
        <w:rPr>
          <w:rFonts w:eastAsia="Times New Roman" w:cs="Times New Roman" w:ascii="Times New Roman" w:hAnsi="Times New Roman"/>
          <w:sz w:val="24"/>
          <w:szCs w:val="24"/>
          <w:lang w:eastAsia="pl-PL"/>
        </w:rPr>
        <w:br/>
        <w:t>Komisja przystąpiła do głosowania nad projektem uchwały wraz z autopoprawką.</w:t>
        <w:br/>
        <w:t xml:space="preserve">W wyniku głosowania wszyscy obecni członkowie komisji – </w:t>
      </w:r>
      <w:r>
        <w:rPr>
          <w:rFonts w:eastAsia="Times New Roman" w:cs="Times New Roman" w:ascii="Times New Roman" w:hAnsi="Times New Roman"/>
          <w:b/>
          <w:bCs/>
          <w:sz w:val="24"/>
          <w:szCs w:val="24"/>
          <w:lang w:eastAsia="pl-PL"/>
        </w:rPr>
        <w:t>9 radnych – opowiedzieli się za pozytywnym zaopiniowaniem projektu uchwały</w:t>
      </w:r>
      <w:r>
        <w:rPr>
          <w:rFonts w:eastAsia="Times New Roman" w:cs="Times New Roman" w:ascii="Times New Roman" w:hAnsi="Times New Roman"/>
          <w:sz w:val="24"/>
          <w:szCs w:val="24"/>
          <w:lang w:eastAsia="pl-PL"/>
        </w:rPr>
        <w:t>. Jedna osoba była nieobecna.</w:t>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6. Rozpatrzenie projektu uchwały w sprawie zmiany Wieloletniej Prognozy Finansowej Miasta Luboń na lata 2025–2044</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kolejnym punkcie posiedzenia Komisja Budżetu i Finansów rozpatrzyła projekt uchwały w sprawie zmiany Wieloletniej Prognozy Finansowej Miasta Luboń na lata 2025–2044. Zmiany w WPF zostały przygotowane w ścisłym powiązaniu </w:t>
        <w:br/>
        <w:t>z uchwalonymi wcześniej zmianami w budżecie miasta na 2025 rok i miały na celu zapewnienie zgodności planu finansowego z aktualnym stanem dochodów i wydatków.</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Wprowadzone korekty objęły zarówno załącznik nr 1 (obejmujący dane zbiorcze dotyczące m.in. dochodów, wydatków, deficytu i długu), jak i załącznik nr 2 (obejmujący wykaz przedsięwzięć wieloletnich).</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Najważniejsze zmiany dotyczyły roku 2025 i objęły:</w:t>
      </w:r>
    </w:p>
    <w:p>
      <w:pPr>
        <w:pStyle w:val="Normal"/>
        <w:numPr>
          <w:ilvl w:val="0"/>
          <w:numId w:val="7"/>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Zwiększenie dochodów ogółem</w:t>
      </w:r>
      <w:r>
        <w:rPr>
          <w:rFonts w:eastAsia="Times New Roman" w:cs="Times New Roman" w:ascii="Times New Roman" w:hAnsi="Times New Roman"/>
          <w:sz w:val="24"/>
          <w:szCs w:val="24"/>
          <w:lang w:eastAsia="pl-PL"/>
        </w:rPr>
        <w:t xml:space="preserve"> do kwoty 213.710.085,57 zł, z czego:</w:t>
      </w:r>
    </w:p>
    <w:p>
      <w:pPr>
        <w:pStyle w:val="Normal"/>
        <w:numPr>
          <w:ilvl w:val="1"/>
          <w:numId w:val="7"/>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Dochody bieżące: 204.318.295,01 zł,</w:t>
      </w:r>
    </w:p>
    <w:p>
      <w:pPr>
        <w:pStyle w:val="Normal"/>
        <w:numPr>
          <w:ilvl w:val="1"/>
          <w:numId w:val="7"/>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Dochody majątkowe: 9.391.790,56 zł (w tym: dotacje inwestycyjne 8.811.790,56 zł oraz sprzedaż majątku 580.000,00 zł).</w:t>
      </w:r>
    </w:p>
    <w:p>
      <w:pPr>
        <w:pStyle w:val="Normal"/>
        <w:numPr>
          <w:ilvl w:val="0"/>
          <w:numId w:val="7"/>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Zwiększenie wydatków ogółem</w:t>
      </w:r>
      <w:r>
        <w:rPr>
          <w:rFonts w:eastAsia="Times New Roman" w:cs="Times New Roman" w:ascii="Times New Roman" w:hAnsi="Times New Roman"/>
          <w:sz w:val="24"/>
          <w:szCs w:val="24"/>
          <w:lang w:eastAsia="pl-PL"/>
        </w:rPr>
        <w:t xml:space="preserve"> do kwoty 232.456.038,20 zł, w tym:</w:t>
      </w:r>
    </w:p>
    <w:p>
      <w:pPr>
        <w:pStyle w:val="Normal"/>
        <w:numPr>
          <w:ilvl w:val="1"/>
          <w:numId w:val="7"/>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Wydatki bieżące: 190.064.635,77 zł,</w:t>
      </w:r>
    </w:p>
    <w:p>
      <w:pPr>
        <w:pStyle w:val="Normal"/>
        <w:numPr>
          <w:ilvl w:val="1"/>
          <w:numId w:val="7"/>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Wydatki majątkowe: 42.391.402,43 zł.</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wyniku powyższego:</w:t>
      </w:r>
    </w:p>
    <w:p>
      <w:pPr>
        <w:pStyle w:val="Normal"/>
        <w:numPr>
          <w:ilvl w:val="0"/>
          <w:numId w:val="8"/>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Deficyt budżetowy na 2025 rok wynosi</w:t>
      </w:r>
      <w:r>
        <w:rPr>
          <w:rFonts w:eastAsia="Times New Roman" w:cs="Times New Roman" w:ascii="Times New Roman" w:hAnsi="Times New Roman"/>
          <w:sz w:val="24"/>
          <w:szCs w:val="24"/>
          <w:lang w:eastAsia="pl-PL"/>
        </w:rPr>
        <w:t xml:space="preserve"> 18.745.952,63 zł,</w:t>
      </w:r>
    </w:p>
    <w:p>
      <w:pPr>
        <w:pStyle w:val="Normal"/>
        <w:numPr>
          <w:ilvl w:val="0"/>
          <w:numId w:val="8"/>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Zostanie on pokryty</w:t>
      </w:r>
      <w:r>
        <w:rPr>
          <w:rFonts w:eastAsia="Times New Roman" w:cs="Times New Roman" w:ascii="Times New Roman" w:hAnsi="Times New Roman"/>
          <w:sz w:val="24"/>
          <w:szCs w:val="24"/>
          <w:lang w:eastAsia="pl-PL"/>
        </w:rPr>
        <w:t xml:space="preserve"> przychodami z emisji papierów wartościowych w wysokości 27.565.051,69 zł, z czego 19.517.531,96 zł przeznaczone zostanie na sfinansowanie deficytu, a pozostała część na spłatę wcześniej zaciągniętych zobowiązań.</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Wprowadzenie tych zmian skutkowało również:</w:t>
      </w:r>
    </w:p>
    <w:p>
      <w:pPr>
        <w:pStyle w:val="Normal"/>
        <w:numPr>
          <w:ilvl w:val="0"/>
          <w:numId w:val="9"/>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Aktualizacją </w:t>
      </w:r>
      <w:r>
        <w:rPr>
          <w:rFonts w:eastAsia="Times New Roman" w:cs="Times New Roman" w:ascii="Times New Roman" w:hAnsi="Times New Roman"/>
          <w:b/>
          <w:bCs/>
          <w:sz w:val="24"/>
          <w:szCs w:val="24"/>
          <w:lang w:eastAsia="pl-PL"/>
        </w:rPr>
        <w:t>prognozy długu</w:t>
      </w:r>
      <w:r>
        <w:rPr>
          <w:rFonts w:eastAsia="Times New Roman" w:cs="Times New Roman" w:ascii="Times New Roman" w:hAnsi="Times New Roman"/>
          <w:sz w:val="24"/>
          <w:szCs w:val="24"/>
          <w:lang w:eastAsia="pl-PL"/>
        </w:rPr>
        <w:t>, który na koniec 2025 roku wyniesie 88.020.223,30 zł,</w:t>
      </w:r>
    </w:p>
    <w:p>
      <w:pPr>
        <w:pStyle w:val="Normal"/>
        <w:numPr>
          <w:ilvl w:val="0"/>
          <w:numId w:val="9"/>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Zachowaniem wymaganych ustawowo relacji wskaźników z art. 242 i 243 ustawy o finansach publicznych, w tym:</w:t>
      </w:r>
    </w:p>
    <w:p>
      <w:pPr>
        <w:pStyle w:val="Normal"/>
        <w:numPr>
          <w:ilvl w:val="1"/>
          <w:numId w:val="9"/>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 stronie relacji bieżącej (art. 242) – dochody bieżące przewyższają wydatki bieżące o 14.253.659,24 zł,</w:t>
      </w:r>
    </w:p>
    <w:p>
      <w:pPr>
        <w:pStyle w:val="Normal"/>
        <w:numPr>
          <w:ilvl w:val="1"/>
          <w:numId w:val="9"/>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Wskaźnik spłaty zobowiązań mieści się w dopuszczalnym limicie – relacja wskaźnikowa wynosi 7,16%, przy dopuszczalnym poziomie 9,55%.</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załączniku nr 2 do WPF wprowadzono również nowe przedsięwzięcie wieloletnie – „Budowa ul. Kopernika w Luboniu” – o łącznych nakładach finansowych wynoszących 3.921.220,40 zł, z czego:</w:t>
      </w:r>
    </w:p>
    <w:p>
      <w:pPr>
        <w:pStyle w:val="Normal"/>
        <w:numPr>
          <w:ilvl w:val="0"/>
          <w:numId w:val="10"/>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Wydatki zaplanowane na 2025 rok wynoszą 2.178.225,87 zł,</w:t>
      </w:r>
    </w:p>
    <w:p>
      <w:pPr>
        <w:pStyle w:val="Normal"/>
        <w:numPr>
          <w:ilvl w:val="0"/>
          <w:numId w:val="10"/>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Wydatki zaplanowane na 2026 rok wynoszą 1.742.994,53 zł.</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Zadanie to będzie realizowane z dofinansowaniem z Rządowego Funduszu Rozwoju Dróg oraz wkładu własnego Miasta Luboń, obejmującego środki przeniesione z innych zadań inwestycyjnych (w tym m.in. z zakresu gospodarki wodno-kanalizacyjnej).</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Pozostałe dane finansowe WPF na lata 2025–2044 zostały odpowiednio dostosowane, w tym wartości wynikające z realizacji projektów unijnych, zobowiązań z tytułu zaciągniętego długu, wskaźników obsługi długu, planów inwestycyjnych oraz prognoz dochodów i wydatków bieżących w kolejnych latach. W kolejnych latach zakłada się stopniowe zmniejszanie kwoty długu oraz utrzymanie nadwyżki operacyjnej pozwalającej na obsługę zadłużenia.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Głosowanie:</w:t>
      </w:r>
      <w:r>
        <w:rPr>
          <w:rFonts w:eastAsia="Times New Roman" w:cs="Times New Roman" w:ascii="Times New Roman" w:hAnsi="Times New Roman"/>
          <w:sz w:val="24"/>
          <w:szCs w:val="24"/>
          <w:lang w:eastAsia="pl-PL"/>
        </w:rPr>
        <w:br/>
        <w:t>W głosowaniu nad pozytywnym zaopiniowaniem projektu uchwały w sprawie zmiany WPF:</w:t>
      </w:r>
    </w:p>
    <w:p>
      <w:pPr>
        <w:pStyle w:val="Normal"/>
        <w:numPr>
          <w:ilvl w:val="0"/>
          <w:numId w:val="11"/>
        </w:numPr>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7 radnych głosowało za</w:t>
      </w:r>
      <w:r>
        <w:rPr>
          <w:rFonts w:eastAsia="Times New Roman" w:cs="Times New Roman" w:ascii="Times New Roman" w:hAnsi="Times New Roman"/>
          <w:sz w:val="24"/>
          <w:szCs w:val="24"/>
          <w:lang w:eastAsia="pl-PL"/>
        </w:rPr>
        <w:t>,</w:t>
      </w:r>
    </w:p>
    <w:p>
      <w:pPr>
        <w:pStyle w:val="Normal"/>
        <w:numPr>
          <w:ilvl w:val="0"/>
          <w:numId w:val="11"/>
        </w:numPr>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 radnych wstrzymało się od głosu</w:t>
      </w:r>
      <w:r>
        <w:rPr>
          <w:rFonts w:eastAsia="Times New Roman" w:cs="Times New Roman" w:ascii="Times New Roman" w:hAnsi="Times New Roman"/>
          <w:sz w:val="24"/>
          <w:szCs w:val="24"/>
          <w:lang w:eastAsia="pl-PL"/>
        </w:rPr>
        <w:t>,</w:t>
      </w:r>
    </w:p>
    <w:p>
      <w:pPr>
        <w:pStyle w:val="Normal"/>
        <w:numPr>
          <w:ilvl w:val="0"/>
          <w:numId w:val="11"/>
        </w:numPr>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1 osoba była nieobecna</w:t>
      </w:r>
      <w:r>
        <w:rPr>
          <w:rFonts w:eastAsia="Times New Roman" w:cs="Times New Roman" w:ascii="Times New Roman" w:hAnsi="Times New Roman"/>
          <w:sz w:val="24"/>
          <w:szCs w:val="24"/>
          <w:lang w:eastAsia="pl-PL"/>
        </w:rPr>
        <w:t>.</w:t>
      </w:r>
    </w:p>
    <w:p>
      <w:pPr>
        <w:pStyle w:val="Normal"/>
        <w:spacing w:lineRule="auto" w:line="276" w:beforeAutospacing="1" w:afterAutospacing="1"/>
        <w:ind w:firstLine="708"/>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Projekt został pozytywnie zaopiniowany większością głosów.</w:t>
      </w:r>
    </w:p>
    <w:p>
      <w:pPr>
        <w:pStyle w:val="Normal"/>
        <w:spacing w:lineRule="auto" w:line="276"/>
        <w:jc w:val="both"/>
        <w:rPr>
          <w:rFonts w:ascii="Times New Roman" w:hAnsi="Times New Roman" w:cs="Times New Roman"/>
        </w:rPr>
      </w:pPr>
      <w:r>
        <w:rPr>
          <w:rFonts w:cs="Times New Roman" w:ascii="Times New Roman" w:hAnsi="Times New Roman"/>
        </w:rPr>
      </w:r>
    </w:p>
    <w:p>
      <w:pPr>
        <w:pStyle w:val="Normal"/>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7. Spotkanie z przedstawicielem Biura Majątku Komunalnego w sprawie zasad przydzielania lokali mieszkalnych – kryteria dochodowe i praktyka stosowania uchwały nr XVI/120/2019</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kolejnej części posiedzenia Komisji Budżetu i Finansów odbyło się zaplanowane spotkanie z przedstawicielem Biura Majątku Komunalnego, panem mec. Dariuszem Springerem – zastępcą dyrektora BMK. Tematem spotkania była analiza zasad przydzielania lokali mieszkalnych z zasobu Miasta Luboń, ze szczególnym uwzględnieniem kryteriów dochodowych oraz praktycznego stosowania uchwały nr XVI/120/2019 Rady Miasta Luboń z dnia 28 listopada 2019 r.</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Na wstępie przewodnicząca komisji poinformowała, że radni wcześniej otrzymali materiały przesłane przez Biuro Majątku Komunalnego oraz zestawienie danych liczbowych dotyczących obowiązujących progów dochodowych. Do dnia poprzedzającego spotkanie nie wpłynęły pytania od radnych, jednak przewodnicząca zachęciła obecnych do zadawania pytań i podejmowania dyskusji w toku spotkania.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Zgodnie z przedstawionymi danymi:</w:t>
      </w:r>
    </w:p>
    <w:p>
      <w:pPr>
        <w:pStyle w:val="Normal"/>
        <w:numPr>
          <w:ilvl w:val="0"/>
          <w:numId w:val="12"/>
        </w:numPr>
        <w:tabs>
          <w:tab w:val="clear" w:pos="708"/>
          <w:tab w:val="left" w:pos="1428" w:leader="none"/>
        </w:tabs>
        <w:spacing w:lineRule="auto" w:line="276" w:beforeAutospacing="1" w:after="0"/>
        <w:ind w:left="142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Najniższa emerytura</w:t>
      </w:r>
      <w:r>
        <w:rPr>
          <w:rFonts w:eastAsia="Times New Roman" w:cs="Times New Roman" w:ascii="Times New Roman" w:hAnsi="Times New Roman"/>
          <w:sz w:val="24"/>
          <w:szCs w:val="24"/>
          <w:lang w:eastAsia="pl-PL"/>
        </w:rPr>
        <w:t xml:space="preserve"> wynosi obecnie </w:t>
      </w:r>
      <w:r>
        <w:rPr>
          <w:rFonts w:eastAsia="Times New Roman" w:cs="Times New Roman" w:ascii="Times New Roman" w:hAnsi="Times New Roman"/>
          <w:b/>
          <w:bCs/>
          <w:sz w:val="24"/>
          <w:szCs w:val="24"/>
          <w:lang w:eastAsia="pl-PL"/>
        </w:rPr>
        <w:t>1.780,96 zł</w:t>
      </w:r>
      <w:r>
        <w:rPr>
          <w:rFonts w:eastAsia="Times New Roman" w:cs="Times New Roman" w:ascii="Times New Roman" w:hAnsi="Times New Roman"/>
          <w:sz w:val="24"/>
          <w:szCs w:val="24"/>
          <w:lang w:eastAsia="pl-PL"/>
        </w:rPr>
        <w:t xml:space="preserve"> (stan na luty 2025 r.),</w:t>
      </w:r>
    </w:p>
    <w:p>
      <w:pPr>
        <w:pStyle w:val="Normal"/>
        <w:numPr>
          <w:ilvl w:val="0"/>
          <w:numId w:val="12"/>
        </w:numPr>
        <w:tabs>
          <w:tab w:val="clear" w:pos="708"/>
          <w:tab w:val="left" w:pos="1428" w:leader="none"/>
        </w:tabs>
        <w:spacing w:lineRule="auto" w:line="276" w:before="0" w:after="0"/>
        <w:ind w:left="142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Progi dochodowe dla lokali socjalnych</w:t>
      </w:r>
      <w:r>
        <w:rPr>
          <w:rFonts w:eastAsia="Times New Roman" w:cs="Times New Roman" w:ascii="Times New Roman" w:hAnsi="Times New Roman"/>
          <w:sz w:val="24"/>
          <w:szCs w:val="24"/>
          <w:lang w:eastAsia="pl-PL"/>
        </w:rPr>
        <w:t>:</w:t>
      </w:r>
    </w:p>
    <w:p>
      <w:pPr>
        <w:pStyle w:val="Normal"/>
        <w:numPr>
          <w:ilvl w:val="1"/>
          <w:numId w:val="12"/>
        </w:numPr>
        <w:tabs>
          <w:tab w:val="clear" w:pos="708"/>
          <w:tab w:val="left" w:pos="2148" w:leader="none"/>
        </w:tabs>
        <w:spacing w:lineRule="auto" w:line="276" w:before="0" w:after="0"/>
        <w:ind w:left="214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gospodarstwo jednoosobowe: do 125% najniższej emerytury, tj. </w:t>
      </w:r>
      <w:r>
        <w:rPr>
          <w:rFonts w:eastAsia="Times New Roman" w:cs="Times New Roman" w:ascii="Times New Roman" w:hAnsi="Times New Roman"/>
          <w:b/>
          <w:bCs/>
          <w:sz w:val="24"/>
          <w:szCs w:val="24"/>
          <w:lang w:eastAsia="pl-PL"/>
        </w:rPr>
        <w:t>2.226,20 zł</w:t>
      </w:r>
      <w:r>
        <w:rPr>
          <w:rFonts w:eastAsia="Times New Roman" w:cs="Times New Roman" w:ascii="Times New Roman" w:hAnsi="Times New Roman"/>
          <w:sz w:val="24"/>
          <w:szCs w:val="24"/>
          <w:lang w:eastAsia="pl-PL"/>
        </w:rPr>
        <w:t xml:space="preserve"> brutto,</w:t>
      </w:r>
    </w:p>
    <w:p>
      <w:pPr>
        <w:pStyle w:val="Normal"/>
        <w:numPr>
          <w:ilvl w:val="1"/>
          <w:numId w:val="12"/>
        </w:numPr>
        <w:tabs>
          <w:tab w:val="clear" w:pos="708"/>
          <w:tab w:val="left" w:pos="2148" w:leader="none"/>
        </w:tabs>
        <w:spacing w:lineRule="auto" w:line="276" w:before="0" w:after="0"/>
        <w:ind w:left="214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gospodarstwo wieloosobowe: do 100% najniższej emerytury na osobę, tj. </w:t>
      </w:r>
      <w:r>
        <w:rPr>
          <w:rFonts w:eastAsia="Times New Roman" w:cs="Times New Roman" w:ascii="Times New Roman" w:hAnsi="Times New Roman"/>
          <w:b/>
          <w:bCs/>
          <w:sz w:val="24"/>
          <w:szCs w:val="24"/>
          <w:lang w:eastAsia="pl-PL"/>
        </w:rPr>
        <w:t>1.780,96 zł</w:t>
      </w:r>
      <w:r>
        <w:rPr>
          <w:rFonts w:eastAsia="Times New Roman" w:cs="Times New Roman" w:ascii="Times New Roman" w:hAnsi="Times New Roman"/>
          <w:sz w:val="24"/>
          <w:szCs w:val="24"/>
          <w:lang w:eastAsia="pl-PL"/>
        </w:rPr>
        <w:t>,</w:t>
      </w:r>
    </w:p>
    <w:p>
      <w:pPr>
        <w:pStyle w:val="Normal"/>
        <w:numPr>
          <w:ilvl w:val="0"/>
          <w:numId w:val="12"/>
        </w:numPr>
        <w:tabs>
          <w:tab w:val="clear" w:pos="708"/>
          <w:tab w:val="left" w:pos="1428" w:leader="none"/>
        </w:tabs>
        <w:spacing w:lineRule="auto" w:line="276" w:before="0" w:after="0"/>
        <w:ind w:left="142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Progi dochodowe dla lokali komunalnych (najem na czas nieoznaczony)</w:t>
      </w:r>
      <w:r>
        <w:rPr>
          <w:rFonts w:eastAsia="Times New Roman" w:cs="Times New Roman" w:ascii="Times New Roman" w:hAnsi="Times New Roman"/>
          <w:sz w:val="24"/>
          <w:szCs w:val="24"/>
          <w:lang w:eastAsia="pl-PL"/>
        </w:rPr>
        <w:t>:</w:t>
      </w:r>
    </w:p>
    <w:p>
      <w:pPr>
        <w:pStyle w:val="Normal"/>
        <w:numPr>
          <w:ilvl w:val="1"/>
          <w:numId w:val="12"/>
        </w:numPr>
        <w:tabs>
          <w:tab w:val="clear" w:pos="708"/>
          <w:tab w:val="left" w:pos="2148" w:leader="none"/>
        </w:tabs>
        <w:spacing w:lineRule="auto" w:line="276" w:before="0" w:after="0"/>
        <w:ind w:left="214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gospodarstwo jednoosobowe: do 175% najniższej emerytury, tj. </w:t>
      </w:r>
      <w:r>
        <w:rPr>
          <w:rFonts w:eastAsia="Times New Roman" w:cs="Times New Roman" w:ascii="Times New Roman" w:hAnsi="Times New Roman"/>
          <w:b/>
          <w:bCs/>
          <w:sz w:val="24"/>
          <w:szCs w:val="24"/>
          <w:lang w:eastAsia="pl-PL"/>
        </w:rPr>
        <w:t>3.116,68 zł</w:t>
      </w:r>
      <w:r>
        <w:rPr>
          <w:rFonts w:eastAsia="Times New Roman" w:cs="Times New Roman" w:ascii="Times New Roman" w:hAnsi="Times New Roman"/>
          <w:sz w:val="24"/>
          <w:szCs w:val="24"/>
          <w:lang w:eastAsia="pl-PL"/>
        </w:rPr>
        <w:t>,</w:t>
      </w:r>
    </w:p>
    <w:p>
      <w:pPr>
        <w:pStyle w:val="Normal"/>
        <w:numPr>
          <w:ilvl w:val="1"/>
          <w:numId w:val="12"/>
        </w:numPr>
        <w:tabs>
          <w:tab w:val="clear" w:pos="708"/>
          <w:tab w:val="left" w:pos="2148" w:leader="none"/>
        </w:tabs>
        <w:spacing w:lineRule="auto" w:line="276" w:before="0" w:afterAutospacing="1"/>
        <w:ind w:left="2148" w:hanging="36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gospodarstwo wieloosobowe: do 125% najniższej emerytury na osobę, tj. </w:t>
      </w:r>
      <w:r>
        <w:rPr>
          <w:rFonts w:eastAsia="Times New Roman" w:cs="Times New Roman" w:ascii="Times New Roman" w:hAnsi="Times New Roman"/>
          <w:b/>
          <w:bCs/>
          <w:sz w:val="24"/>
          <w:szCs w:val="24"/>
          <w:lang w:eastAsia="pl-PL"/>
        </w:rPr>
        <w:t>2.226,20 zł</w:t>
      </w:r>
      <w:r>
        <w:rPr>
          <w:rFonts w:eastAsia="Times New Roman" w:cs="Times New Roman" w:ascii="Times New Roman" w:hAnsi="Times New Roman"/>
          <w:sz w:val="24"/>
          <w:szCs w:val="24"/>
          <w:lang w:eastAsia="pl-PL"/>
        </w:rPr>
        <w:t>.</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Uchwała dopuszcza również możliwość podwyższenia tych progów – o 50% (w przypadku lokali socjalnych) lub o 20% (w przypadku lokali komunalnych) – w sytuacjach, gdy jedynym źródłem dochodu są świadczenia emerytalne, przedemerytalne lub renty z tytułu całkowitej niezdolności do pracy.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Przedstawiciel BMK zaznaczył, że zapisy lokalnej uchwały muszą być analizowane </w:t>
        <w:br/>
        <w:t xml:space="preserve">w kontekście ustaw o ochronie praw lokatorów i o dodatkach mieszkaniowych. Kwalifikacja osób do lokali odbywa się na podstawie analizy danych dochodowych </w:t>
        <w:br/>
        <w:t xml:space="preserve">za ostatnich 12 miesięcy. Dane te są przedstawiane komisji ds. opiniowania list mieszkaniowych, która przygotowuje projekt listy. Weryfikacja następuje w oparciu </w:t>
        <w:br/>
        <w:t>o dokumenty dostarczane przez wnioskodawców, m.in. zaświadczenia o dochodach, decyzje ZUS, alimenty.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Wskazano, że lokal socjalny stanowi około 25% miejskiego zasobu mieszkaniowego </w:t>
        <w:br/>
        <w:t>i jest przydzielany na czas określony. Lokale komunalne są natomiast wynajmowane na czas nieoznaczony. O kwalifikacji do jednej z grup decydują ściśle określone kryteria formalne, przede wszystkim dochodowe.</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Zgłoszono, że miasto zmaga się z bardzo ograniczonym zasobem mieszkaniowym, </w:t>
        <w:br/>
        <w:t xml:space="preserve">a średni czas oczekiwania na przydział mieszkania liczony jest w latach. Mimo że każdego roku sporządzana jest lista uprawnionych do uzyskania lokalu, to liczba dostępnych mieszkań jest znikoma. W przypadku zwolnienia lokalu w złym stanie technicznym, podejmowana jest decyzja o jego wycofaniu z użytkowania. </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trakcie spotkania poruszono również problem związany z orzeczeniami sądowymi przyznającymi osobom fizycznym prawo do lokalu socjalnego. W sytuacji, gdy miasto nie jest w stanie zapewnić takiego lokalu, wypłaca właścicielowi prywatnego mieszkania odszkodowanie w wysokości odpowiadającej rynkowemu czynszowi. Wskazano, że obecnie w Luboniu są cztery takie przypadki.</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Radni dopytywali, czy miasto ma możliwość dochodzenia regresu, tj. zwrotu wypłaconych odszkodowań od osób, które faktycznie zajmują lokal. Pan Springer wyjaśnił, że mimo przeprowadzonych analiz, miasto dotąd nie praktykowało dochodzenia regresów, ponieważ w większości przypadków osoby te nie są wypłacalne, a prowadzenie postępowania byłoby nieopłacalne ekonomicznie. Dodał, że </w:t>
        <w:br/>
        <w:t>w pojedynczych przypadkach udaje się zawrzeć ugody z właścicielami, dzięki czemu można ustalić bardziej korzystne dla miasta stawki.</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Omówiono również problem niskiej wiarygodności danych przedstawianych przez niektórych wnioskodawców. Zwrócono uwagę, że część osób celowo zaniża deklarowane dochody, np. wykazując zatrudnienie na część etatu, podczas gdy </w:t>
        <w:br/>
        <w:t>w rzeczywistości pracują na pełen etat lub w nieujawnionych miejscach pracy. Przykładem była sytuacja, w której osoba deklarowała 400 zł dochodu, dojeżdżając codziennie do Poznania.</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Zauważono, że miasto nie dysponuje narzędziami do weryfikacji takich sytuacji – np. śledzenia przepływu gotówki czy składania doniesień do urzędów skarbowych. Pani Burmistrz wskazała, że jakiekolwiek próby nadzoru nad tym procederem prowadziłyby do naruszenia praw obywatelskich oraz nieproporcjonalnych kosztów administracyjnych.</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dalszej części spotkania omówiono procedurę odmowy przyjęcia mieszkania. Zgodnie z uchwałą, osoba z listy mieszkaniowej ma prawo dwukrotnie odmówić przyjęcia przydzielonego lokalu. Trzecia odmowa skutkuje wykreśleniem z listy.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Radni pytali również o zasady weryfikacji dochodów osób już posiadających lokale komunalne. Pan Springer potwierdził, że zgodnie z uchwałą z 2019 roku, możliwa jest weryfikacja dochodów co 2,5 roku. W praktyce weryfikację przeprowadzono dotąd </w:t>
        <w:br/>
        <w:t>w kilku przypadkach. W większości z nich sytuacja najemców nie uległa istotnej poprawie.</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Podkreślono również, że ubóstwo mieszkaniowe dotyczy nie tylko rodzin z problemami społecznymi, ale także osób pracujących – w tym samotnych rodziców czy osób zatrudnionych w sektorze nauki i edukacji, które nie są w stanie uzyskać kredytu hipotecznego ani wynająć mieszkania po stawkach rynkowych.</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Spotkanie zakończono bez podejmowania uchwał i głosowań, jednak członkowie komisji zgodnie wskazali na potrzebę kontynuowania dialogu z Biurem Majątku Komunalnego i MOPS w zakresie analizy potrzeb mieszkaniowych mieszkańców oraz przeglądu stanu i jakości zasobu mieszkaniowego Miasta Luboń.</w:t>
      </w:r>
      <w:bookmarkStart w:id="0" w:name="_GoBack"/>
      <w:bookmarkEnd w:id="0"/>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ind w:left="360" w:firstLine="348"/>
        <w:jc w:val="both"/>
        <w:rPr>
          <w:rFonts w:ascii="Times New Roman" w:hAnsi="Times New Roman" w:cs="Times New Roman"/>
          <w:sz w:val="24"/>
          <w:szCs w:val="24"/>
          <w:u w:val="single"/>
        </w:rPr>
      </w:pPr>
      <w:r>
        <w:rPr>
          <w:rStyle w:val="Strong"/>
          <w:rFonts w:cs="Times New Roman" w:ascii="Times New Roman" w:hAnsi="Times New Roman"/>
          <w:sz w:val="24"/>
          <w:szCs w:val="24"/>
          <w:u w:val="single"/>
        </w:rPr>
        <w:t xml:space="preserve">8. Głosowanie nad przyjęciem protokołu </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Komisja Budżetu i Finansów przystąpiła do głosowania nad przyjęciem protokołu nr 8 z posiedzenia, które odbyło się w dniu 6 listopada 2024 roku. Protokół dotyczył informacji na temat działalności spółek miejskich za rok 2023 (PT Translub Sp. z o.o., Kom-Lub Sp. z o.o., LOSiR Sp. z o.o.) oraz opiniowania projektów uchwał skierowanych na sesję Rady Miasta Luboń.</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głosowaniu nad przyjęciem protokołu wzięło udział 9 radnych. Za przyjęciem głosowało 9 osób, 1 osoba była nieobecna (Monika Nawrot).</w:t>
      </w:r>
    </w:p>
    <w:p>
      <w:pPr>
        <w:pStyle w:val="Normal"/>
        <w:spacing w:lineRule="auto" w:line="276" w:beforeAutospacing="1" w:afterAutospacing="1"/>
        <w:ind w:firstLine="708"/>
        <w:jc w:val="both"/>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Protokół nr 8 z dnia 6 listopada 2024 roku został przyjęty.</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Standard"/>
        <w:spacing w:lineRule="auto" w:line="276"/>
        <w:ind w:firstLine="708"/>
        <w:jc w:val="both"/>
        <w:rPr>
          <w:rStyle w:val="Fontstyle01"/>
          <w:rFonts w:ascii="Times New Roman" w:hAnsi="Times New Roman" w:cs="Times New Roman"/>
          <w:b/>
          <w:bCs/>
          <w:sz w:val="24"/>
          <w:szCs w:val="24"/>
          <w:u w:val="single"/>
          <w:lang w:val="pl-PL"/>
        </w:rPr>
      </w:pPr>
      <w:r>
        <w:rPr>
          <w:rStyle w:val="Fontstyle01"/>
          <w:rFonts w:cs="Times New Roman"/>
          <w:b/>
          <w:bCs/>
          <w:sz w:val="24"/>
          <w:szCs w:val="24"/>
          <w:u w:val="single"/>
          <w:lang w:val="pl-PL"/>
        </w:rPr>
        <w:t>9. Wolne głosy i wnioski</w:t>
      </w:r>
    </w:p>
    <w:p>
      <w:pPr>
        <w:pStyle w:val="Standard"/>
        <w:spacing w:lineRule="auto" w:line="276"/>
        <w:ind w:firstLine="708"/>
        <w:jc w:val="both"/>
        <w:rPr>
          <w:rStyle w:val="Fontstyle01"/>
          <w:rFonts w:ascii="Times New Roman" w:hAnsi="Times New Roman" w:cs="Times New Roman"/>
          <w:bCs/>
          <w:sz w:val="24"/>
          <w:szCs w:val="24"/>
          <w:lang w:val="pl-PL"/>
        </w:rPr>
      </w:pPr>
      <w:r>
        <w:rPr>
          <w:rStyle w:val="Fontstyle01"/>
          <w:rFonts w:cs="Times New Roman"/>
          <w:bCs/>
          <w:sz w:val="24"/>
          <w:szCs w:val="24"/>
          <w:lang w:val="pl-PL"/>
        </w:rPr>
        <w:t>W tym punkcie posiedzenia nikt nie zabrał głosu.</w:t>
      </w:r>
    </w:p>
    <w:p>
      <w:pPr>
        <w:pStyle w:val="Standard"/>
        <w:spacing w:lineRule="auto" w:line="276"/>
        <w:ind w:firstLine="708"/>
        <w:jc w:val="both"/>
        <w:rPr>
          <w:rStyle w:val="Fontstyle01"/>
          <w:rFonts w:ascii="Times New Roman" w:hAnsi="Times New Roman" w:cs="Times New Roman"/>
          <w:bCs/>
          <w:sz w:val="24"/>
          <w:szCs w:val="24"/>
          <w:lang w:val="pl-PL"/>
        </w:rPr>
      </w:pPr>
      <w:r>
        <w:rPr>
          <w:rFonts w:cs="Times New Roman"/>
          <w:bCs/>
          <w:sz w:val="24"/>
          <w:szCs w:val="24"/>
          <w:lang w:val="pl-PL"/>
        </w:rPr>
      </w:r>
    </w:p>
    <w:p>
      <w:pPr>
        <w:pStyle w:val="Standard"/>
        <w:spacing w:lineRule="auto" w:line="276"/>
        <w:ind w:firstLine="708"/>
        <w:jc w:val="both"/>
        <w:rPr>
          <w:rStyle w:val="Fontstyle01"/>
          <w:rFonts w:ascii="Times New Roman" w:hAnsi="Times New Roman" w:cs="Times New Roman"/>
          <w:b/>
          <w:bCs/>
          <w:sz w:val="24"/>
          <w:szCs w:val="24"/>
          <w:u w:val="single"/>
          <w:lang w:val="pl-PL"/>
        </w:rPr>
      </w:pPr>
      <w:r>
        <w:rPr>
          <w:rStyle w:val="Fontstyle01"/>
          <w:rFonts w:cs="Times New Roman"/>
          <w:b/>
          <w:bCs/>
          <w:sz w:val="24"/>
          <w:szCs w:val="24"/>
          <w:u w:val="single"/>
          <w:lang w:val="pl-PL"/>
        </w:rPr>
        <w:t>10. Zakończenie posiedzenia</w:t>
      </w:r>
    </w:p>
    <w:p>
      <w:pPr>
        <w:pStyle w:val="Normal"/>
        <w:spacing w:lineRule="auto" w:line="276" w:beforeAutospacing="1" w:afterAutospacing="1"/>
        <w:ind w:left="30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Komisja zakończyła swoją pracę o godzinie 18:10.</w:t>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Standard"/>
        <w:spacing w:lineRule="auto" w:line="276"/>
        <w:ind w:firstLine="705"/>
        <w:jc w:val="both"/>
        <w:rPr>
          <w:rFonts w:cs="Times New Roman"/>
          <w:lang w:val="pl-PL"/>
        </w:rPr>
      </w:pPr>
      <w:r>
        <w:rPr>
          <w:rFonts w:cs="Times New Roman"/>
          <w:lang w:val="pl-PL"/>
        </w:rPr>
        <w:t xml:space="preserve">Sekretarz Komisji </w:t>
        <w:tab/>
        <w:tab/>
        <w:tab/>
        <w:tab/>
        <w:tab/>
        <w:tab/>
        <w:t>Przewodnicząca Komisji</w:t>
      </w:r>
    </w:p>
    <w:p>
      <w:pPr>
        <w:pStyle w:val="Standard"/>
        <w:spacing w:lineRule="auto" w:line="276"/>
        <w:ind w:firstLine="708"/>
        <w:jc w:val="both"/>
        <w:rPr>
          <w:rStyle w:val="Fontstyle01"/>
          <w:rFonts w:ascii="Times New Roman" w:hAnsi="Times New Roman" w:cs="Times New Roman"/>
          <w:bCs/>
          <w:sz w:val="24"/>
          <w:szCs w:val="24"/>
          <w:lang w:val="pl-PL"/>
        </w:rPr>
      </w:pPr>
      <w:r>
        <w:rPr>
          <w:rFonts w:cs="Times New Roman"/>
          <w:lang w:val="pl-PL"/>
        </w:rPr>
        <w:t xml:space="preserve">Maciej Różański </w:t>
        <w:tab/>
        <w:tab/>
        <w:tab/>
        <w:tab/>
        <w:tab/>
        <w:tab/>
        <w:t>Katarzyna Ekwińska</w:t>
        <w:tab/>
      </w:r>
    </w:p>
    <w:p>
      <w:pPr>
        <w:pStyle w:val="Standard"/>
        <w:spacing w:lineRule="auto" w:line="276"/>
        <w:ind w:firstLine="708"/>
        <w:jc w:val="both"/>
        <w:rPr>
          <w:rStyle w:val="Fontstyle01"/>
          <w:rFonts w:ascii="Times New Roman" w:hAnsi="Times New Roman" w:cs="Times New Roman"/>
          <w:bCs/>
          <w:sz w:val="24"/>
          <w:szCs w:val="24"/>
          <w:lang w:val="pl-PL"/>
        </w:rPr>
      </w:pPr>
      <w:r>
        <w:rPr>
          <w:rStyle w:val="Fontstyle01"/>
          <w:rFonts w:cs="Times New Roman"/>
          <w:bCs/>
          <w:sz w:val="24"/>
          <w:szCs w:val="24"/>
          <w:lang w:val="pl-PL"/>
        </w:rPr>
        <w:t xml:space="preserve"> </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NewRomanPSMT">
    <w:charset w:val="ee"/>
    <w:family w:val="roman"/>
    <w:pitch w:val="variable"/>
  </w:font>
  <w:font w:name="Liberation Sans">
    <w:altName w:val="Arial"/>
    <w:charset w:val="ee"/>
    <w:family w:val="swiss"/>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lvl>
    <w:lvl w:ilvl="1">
      <w:start w:val="1"/>
      <w:numFmt w:val="decimal"/>
      <w:lvlText w:val="%2."/>
      <w:lvlJc w:val="left"/>
      <w:pPr>
        <w:tabs>
          <w:tab w:val="num" w:pos="0"/>
        </w:tabs>
        <w:ind w:left="1428" w:hanging="360"/>
      </w:pPr>
      <w:rPr>
        <w:b/>
      </w:rPr>
    </w:lvl>
    <w:lvl w:ilvl="2">
      <w:start w:val="1"/>
      <w:numFmt w:val="decimal"/>
      <w:lvlText w:val="%3."/>
      <w:lvlJc w:val="left"/>
      <w:pPr>
        <w:tabs>
          <w:tab w:val="num" w:pos="0"/>
        </w:tabs>
        <w:ind w:left="1788" w:hanging="360"/>
      </w:pPr>
      <w:rPr/>
    </w:lvl>
    <w:lvl w:ilvl="3">
      <w:start w:val="1"/>
      <w:numFmt w:val="decimal"/>
      <w:lvlText w:val="%4."/>
      <w:lvlJc w:val="left"/>
      <w:pPr>
        <w:tabs>
          <w:tab w:val="num" w:pos="0"/>
        </w:tabs>
        <w:ind w:left="2148" w:hanging="360"/>
      </w:pPr>
      <w:rPr/>
    </w:lvl>
    <w:lvl w:ilvl="4">
      <w:start w:val="1"/>
      <w:numFmt w:val="decimal"/>
      <w:lvlText w:val="%5."/>
      <w:lvlJc w:val="left"/>
      <w:pPr>
        <w:tabs>
          <w:tab w:val="num" w:pos="0"/>
        </w:tabs>
        <w:ind w:left="2508" w:hanging="360"/>
      </w:pPr>
      <w:rPr/>
    </w:lvl>
    <w:lvl w:ilvl="5">
      <w:start w:val="1"/>
      <w:numFmt w:val="decimal"/>
      <w:lvlText w:val="%6."/>
      <w:lvlJc w:val="left"/>
      <w:pPr>
        <w:tabs>
          <w:tab w:val="num" w:pos="0"/>
        </w:tabs>
        <w:ind w:left="2868" w:hanging="360"/>
      </w:pPr>
      <w:rPr/>
    </w:lvl>
    <w:lvl w:ilvl="6">
      <w:start w:val="1"/>
      <w:numFmt w:val="decimal"/>
      <w:lvlText w:val="%7."/>
      <w:lvlJc w:val="left"/>
      <w:pPr>
        <w:tabs>
          <w:tab w:val="num" w:pos="0"/>
        </w:tabs>
        <w:ind w:left="3228" w:hanging="360"/>
      </w:pPr>
      <w:rPr/>
    </w:lvl>
    <w:lvl w:ilvl="7">
      <w:start w:val="1"/>
      <w:numFmt w:val="decimal"/>
      <w:lvlText w:val="%8."/>
      <w:lvlJc w:val="left"/>
      <w:pPr>
        <w:tabs>
          <w:tab w:val="num" w:pos="0"/>
        </w:tabs>
        <w:ind w:left="3588" w:hanging="360"/>
      </w:pPr>
      <w:rPr/>
    </w:lvl>
    <w:lvl w:ilvl="8">
      <w:start w:val="1"/>
      <w:numFmt w:val="decimal"/>
      <w:lvlText w:val="%9."/>
      <w:lvlJc w:val="left"/>
      <w:pPr>
        <w:tabs>
          <w:tab w:val="num" w:pos="0"/>
        </w:tabs>
        <w:ind w:left="3948" w:hanging="36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070" w:hanging="360"/>
      </w:pPr>
      <w:rPr>
        <w:rFonts w:eastAsia="Times New Roman"/>
        <w:color w:val="auto"/>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4">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5">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6">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7">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8">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9">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0">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1">
    <w:lvl w:ilvl="0">
      <w:start w:val="1"/>
      <w:numFmt w:val="bullet"/>
      <w:lvlText w:val=""/>
      <w:lvlJc w:val="left"/>
      <w:pPr>
        <w:tabs>
          <w:tab w:val="num" w:pos="1068"/>
        </w:tabs>
        <w:ind w:left="1068" w:hanging="360"/>
      </w:pPr>
      <w:rPr>
        <w:rFonts w:ascii="Symbol" w:hAnsi="Symbol" w:cs="Symbol" w:hint="default"/>
        <w:sz w:val="20"/>
      </w:rPr>
    </w:lvl>
    <w:lvl w:ilvl="1">
      <w:start w:val="1"/>
      <w:numFmt w:val="bullet"/>
      <w:lvlText w:val="o"/>
      <w:lvlJc w:val="left"/>
      <w:pPr>
        <w:tabs>
          <w:tab w:val="num" w:pos="1788"/>
        </w:tabs>
        <w:ind w:left="1788" w:hanging="360"/>
      </w:pPr>
      <w:rPr>
        <w:rFonts w:ascii="Courier New" w:hAnsi="Courier New" w:cs="Courier New" w:hint="default"/>
        <w:sz w:val="20"/>
      </w:rPr>
    </w:lvl>
    <w:lvl w:ilvl="2">
      <w:start w:val="1"/>
      <w:numFmt w:val="bullet"/>
      <w:lvlText w:val=""/>
      <w:lvlJc w:val="left"/>
      <w:pPr>
        <w:tabs>
          <w:tab w:val="num" w:pos="2508"/>
        </w:tabs>
        <w:ind w:left="2508" w:hanging="360"/>
      </w:pPr>
      <w:rPr>
        <w:rFonts w:ascii="Wingdings" w:hAnsi="Wingdings" w:cs="Wingdings" w:hint="default"/>
        <w:sz w:val="20"/>
      </w:rPr>
    </w:lvl>
    <w:lvl w:ilvl="3">
      <w:start w:val="1"/>
      <w:numFmt w:val="bullet"/>
      <w:lvlText w:val=""/>
      <w:lvlJc w:val="left"/>
      <w:pPr>
        <w:tabs>
          <w:tab w:val="num" w:pos="3228"/>
        </w:tabs>
        <w:ind w:left="3228" w:hanging="360"/>
      </w:pPr>
      <w:rPr>
        <w:rFonts w:ascii="Wingdings" w:hAnsi="Wingdings" w:cs="Wingdings" w:hint="default"/>
        <w:sz w:val="20"/>
      </w:rPr>
    </w:lvl>
    <w:lvl w:ilvl="4">
      <w:start w:val="1"/>
      <w:numFmt w:val="bullet"/>
      <w:lvlText w:val=""/>
      <w:lvlJc w:val="left"/>
      <w:pPr>
        <w:tabs>
          <w:tab w:val="num" w:pos="3948"/>
        </w:tabs>
        <w:ind w:left="3948" w:hanging="360"/>
      </w:pPr>
      <w:rPr>
        <w:rFonts w:ascii="Wingdings" w:hAnsi="Wingdings" w:cs="Wingdings" w:hint="default"/>
        <w:sz w:val="20"/>
      </w:rPr>
    </w:lvl>
    <w:lvl w:ilvl="5">
      <w:start w:val="1"/>
      <w:numFmt w:val="bullet"/>
      <w:lvlText w:val=""/>
      <w:lvlJc w:val="left"/>
      <w:pPr>
        <w:tabs>
          <w:tab w:val="num" w:pos="4668"/>
        </w:tabs>
        <w:ind w:left="4668" w:hanging="360"/>
      </w:pPr>
      <w:rPr>
        <w:rFonts w:ascii="Wingdings" w:hAnsi="Wingdings" w:cs="Wingdings" w:hint="default"/>
        <w:sz w:val="20"/>
      </w:rPr>
    </w:lvl>
    <w:lvl w:ilvl="6">
      <w:start w:val="1"/>
      <w:numFmt w:val="bullet"/>
      <w:lvlText w:val=""/>
      <w:lvlJc w:val="left"/>
      <w:pPr>
        <w:tabs>
          <w:tab w:val="num" w:pos="5388"/>
        </w:tabs>
        <w:ind w:left="5388" w:hanging="360"/>
      </w:pPr>
      <w:rPr>
        <w:rFonts w:ascii="Wingdings" w:hAnsi="Wingdings" w:cs="Wingdings" w:hint="default"/>
        <w:sz w:val="20"/>
      </w:rPr>
    </w:lvl>
    <w:lvl w:ilvl="7">
      <w:start w:val="1"/>
      <w:numFmt w:val="bullet"/>
      <w:lvlText w:val=""/>
      <w:lvlJc w:val="left"/>
      <w:pPr>
        <w:tabs>
          <w:tab w:val="num" w:pos="6108"/>
        </w:tabs>
        <w:ind w:left="6108" w:hanging="360"/>
      </w:pPr>
      <w:rPr>
        <w:rFonts w:ascii="Wingdings" w:hAnsi="Wingdings" w:cs="Wingdings" w:hint="default"/>
        <w:sz w:val="20"/>
      </w:rPr>
    </w:lvl>
    <w:lvl w:ilvl="8">
      <w:start w:val="1"/>
      <w:numFmt w:val="bullet"/>
      <w:lvlText w:val=""/>
      <w:lvlJc w:val="left"/>
      <w:pPr>
        <w:tabs>
          <w:tab w:val="num" w:pos="6828"/>
        </w:tabs>
        <w:ind w:left="6828"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f4d9f"/>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Fontstyle01" w:customStyle="1">
    <w:name w:val="fontstyle01"/>
    <w:basedOn w:val="DefaultParagraphFont"/>
    <w:qFormat/>
    <w:rsid w:val="00b83ee9"/>
    <w:rPr>
      <w:rFonts w:ascii="TimesNewRomanPSMT" w:hAnsi="TimesNewRomanPSMT"/>
      <w:b w:val="false"/>
      <w:bCs w:val="false"/>
      <w:i w:val="false"/>
      <w:iCs w:val="false"/>
      <w:color w:val="000000"/>
      <w:sz w:val="22"/>
      <w:szCs w:val="22"/>
    </w:rPr>
  </w:style>
  <w:style w:type="character" w:styleId="Strong">
    <w:name w:val="Strong"/>
    <w:basedOn w:val="DefaultParagraphFont"/>
    <w:uiPriority w:val="22"/>
    <w:qFormat/>
    <w:rsid w:val="006f6dd9"/>
    <w:rPr>
      <w:b/>
      <w:bCs/>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b83ee9"/>
    <w:pPr>
      <w:spacing w:before="0" w:after="160"/>
      <w:ind w:left="720" w:hanging="0"/>
      <w:contextualSpacing/>
    </w:pPr>
    <w:rPr/>
  </w:style>
  <w:style w:type="paragraph" w:styleId="Standard" w:customStyle="1">
    <w:name w:val="Standard"/>
    <w:qFormat/>
    <w:rsid w:val="00b83ee9"/>
    <w:pPr>
      <w:widowControl/>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LibreOffice/7.5.4.2$Windows_X86_64 LibreOffice_project/36ccfdc35048b057fd9854c757a8b67ec53977b6</Application>
  <AppVersion>15.0000</AppVersion>
  <Pages>13</Pages>
  <Words>3660</Words>
  <Characters>23459</Characters>
  <CharactersWithSpaces>26987</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2025-05-08T22:27:00Z</dcterms:created>
  <dc:creator>Różański Maciej</dc:creator>
  <dc:description/>
  <dc:language>pl-PL</dc:language>
  <cp:lastModifiedBy>Różański Maciej</cp:lastModifiedBy>
  <dcterms:modified xsi:type="dcterms:W3CDTF">2025-05-09T05:54:00Z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