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60FF" w14:textId="5F1BC0D4"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PROTOKÓŁ NR </w:t>
      </w:r>
      <w:r w:rsidR="00BB4E46" w:rsidRPr="008901ED">
        <w:rPr>
          <w:rFonts w:cs="Times New Roman"/>
          <w:b/>
          <w:bCs/>
          <w:sz w:val="28"/>
          <w:szCs w:val="28"/>
          <w:lang w:val="pl-PL"/>
        </w:rPr>
        <w:t>2</w:t>
      </w:r>
      <w:r w:rsidR="0006128C">
        <w:rPr>
          <w:rFonts w:cs="Times New Roman"/>
          <w:b/>
          <w:bCs/>
          <w:sz w:val="28"/>
          <w:szCs w:val="28"/>
          <w:lang w:val="pl-PL"/>
        </w:rPr>
        <w:t>4</w:t>
      </w:r>
      <w:r w:rsidRPr="008901ED">
        <w:rPr>
          <w:rFonts w:cs="Times New Roman"/>
          <w:b/>
          <w:bCs/>
          <w:sz w:val="28"/>
          <w:szCs w:val="28"/>
          <w:lang w:val="pl-PL"/>
        </w:rPr>
        <w:t>/202</w:t>
      </w:r>
      <w:r w:rsidR="00AF1E54">
        <w:rPr>
          <w:rFonts w:cs="Times New Roman"/>
          <w:b/>
          <w:bCs/>
          <w:sz w:val="28"/>
          <w:szCs w:val="28"/>
          <w:lang w:val="pl-PL"/>
        </w:rPr>
        <w:t>6</w:t>
      </w:r>
    </w:p>
    <w:p w14:paraId="264AD25B" w14:textId="7777777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POSIEDZENIA KOMISJI BUDŻETU I FINANSÓW</w:t>
      </w:r>
    </w:p>
    <w:p w14:paraId="1F74BDFC" w14:textId="1AF4D3F2"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Z DNIA </w:t>
      </w:r>
      <w:r w:rsidR="00A7294D">
        <w:rPr>
          <w:rFonts w:cs="Times New Roman"/>
          <w:b/>
          <w:bCs/>
          <w:sz w:val="28"/>
          <w:szCs w:val="28"/>
          <w:lang w:val="pl-PL"/>
        </w:rPr>
        <w:t>1</w:t>
      </w:r>
      <w:r w:rsidR="0006128C">
        <w:rPr>
          <w:rFonts w:cs="Times New Roman"/>
          <w:b/>
          <w:bCs/>
          <w:sz w:val="28"/>
          <w:szCs w:val="28"/>
          <w:lang w:val="pl-PL"/>
        </w:rPr>
        <w:t>8</w:t>
      </w:r>
      <w:r w:rsidRPr="008901ED">
        <w:rPr>
          <w:rFonts w:cs="Times New Roman"/>
          <w:b/>
          <w:bCs/>
          <w:sz w:val="28"/>
          <w:szCs w:val="28"/>
          <w:lang w:val="pl-PL"/>
        </w:rPr>
        <w:t>.</w:t>
      </w:r>
      <w:r w:rsidR="00AF1E54">
        <w:rPr>
          <w:rFonts w:cs="Times New Roman"/>
          <w:b/>
          <w:bCs/>
          <w:sz w:val="28"/>
          <w:szCs w:val="28"/>
          <w:lang w:val="pl-PL"/>
        </w:rPr>
        <w:t>0</w:t>
      </w:r>
      <w:r w:rsidR="0006128C">
        <w:rPr>
          <w:rFonts w:cs="Times New Roman"/>
          <w:b/>
          <w:bCs/>
          <w:sz w:val="28"/>
          <w:szCs w:val="28"/>
          <w:lang w:val="pl-PL"/>
        </w:rPr>
        <w:t>3</w:t>
      </w:r>
      <w:r w:rsidRPr="008901ED">
        <w:rPr>
          <w:rFonts w:cs="Times New Roman"/>
          <w:b/>
          <w:bCs/>
          <w:sz w:val="28"/>
          <w:szCs w:val="28"/>
          <w:lang w:val="pl-PL"/>
        </w:rPr>
        <w:t>.202</w:t>
      </w:r>
      <w:r w:rsidR="00AF1E54">
        <w:rPr>
          <w:rFonts w:cs="Times New Roman"/>
          <w:b/>
          <w:bCs/>
          <w:sz w:val="28"/>
          <w:szCs w:val="28"/>
          <w:lang w:val="pl-PL"/>
        </w:rPr>
        <w:t>6</w:t>
      </w:r>
    </w:p>
    <w:p w14:paraId="5CA9269D" w14:textId="77777777" w:rsidR="00E3592D" w:rsidRPr="00A91198" w:rsidRDefault="00E3592D" w:rsidP="00C22532">
      <w:pPr>
        <w:tabs>
          <w:tab w:val="left" w:pos="3969"/>
        </w:tabs>
        <w:spacing w:line="360" w:lineRule="auto"/>
        <w:rPr>
          <w:rFonts w:ascii="Times New Roman" w:hAnsi="Times New Roman" w:cs="Times New Roman"/>
          <w:sz w:val="24"/>
          <w:szCs w:val="24"/>
        </w:rPr>
      </w:pPr>
    </w:p>
    <w:p w14:paraId="603B4C78"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2D53E612" w14:textId="0E746548" w:rsidR="00E3592D" w:rsidRPr="00A91198" w:rsidRDefault="0006128C" w:rsidP="00C22532">
      <w:pPr>
        <w:tabs>
          <w:tab w:val="left" w:pos="3969"/>
        </w:tabs>
        <w:spacing w:line="360" w:lineRule="auto"/>
        <w:jc w:val="both"/>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Dnia 18 marca</w:t>
      </w:r>
      <w:r w:rsidR="00A7294D">
        <w:rPr>
          <w:rFonts w:ascii="Times New Roman" w:eastAsia="Andale Sans UI" w:hAnsi="Times New Roman" w:cs="Times New Roman"/>
          <w:kern w:val="3"/>
          <w:sz w:val="24"/>
          <w:szCs w:val="24"/>
          <w:lang w:eastAsia="ja-JP" w:bidi="fa-IR"/>
        </w:rPr>
        <w:t xml:space="preserve"> </w:t>
      </w:r>
      <w:r w:rsidR="00E3592D" w:rsidRPr="00A91198">
        <w:rPr>
          <w:rFonts w:ascii="Times New Roman" w:eastAsia="Andale Sans UI" w:hAnsi="Times New Roman" w:cs="Times New Roman"/>
          <w:kern w:val="3"/>
          <w:sz w:val="24"/>
          <w:szCs w:val="24"/>
          <w:lang w:eastAsia="ja-JP" w:bidi="fa-IR"/>
        </w:rPr>
        <w:t>202</w:t>
      </w:r>
      <w:r w:rsidR="00AF1E54">
        <w:rPr>
          <w:rFonts w:ascii="Times New Roman" w:eastAsia="Andale Sans UI" w:hAnsi="Times New Roman" w:cs="Times New Roman"/>
          <w:kern w:val="3"/>
          <w:sz w:val="24"/>
          <w:szCs w:val="24"/>
          <w:lang w:eastAsia="ja-JP" w:bidi="fa-IR"/>
        </w:rPr>
        <w:t>6</w:t>
      </w:r>
      <w:r w:rsidR="00E3592D" w:rsidRPr="00A91198">
        <w:rPr>
          <w:rFonts w:ascii="Times New Roman" w:eastAsia="Andale Sans UI" w:hAnsi="Times New Roman" w:cs="Times New Roman"/>
          <w:kern w:val="3"/>
          <w:sz w:val="24"/>
          <w:szCs w:val="24"/>
          <w:lang w:eastAsia="ja-JP" w:bidi="fa-IR"/>
        </w:rPr>
        <w:t xml:space="preserve"> r. o godzinie </w:t>
      </w:r>
      <w:r>
        <w:rPr>
          <w:rFonts w:ascii="Times New Roman" w:eastAsia="Andale Sans UI" w:hAnsi="Times New Roman" w:cs="Times New Roman"/>
          <w:kern w:val="3"/>
          <w:sz w:val="24"/>
          <w:szCs w:val="24"/>
          <w:lang w:eastAsia="ja-JP" w:bidi="fa-IR"/>
        </w:rPr>
        <w:t>16:00</w:t>
      </w:r>
      <w:r w:rsidR="00E3592D" w:rsidRPr="00A91198">
        <w:rPr>
          <w:rFonts w:ascii="Times New Roman" w:eastAsia="Andale Sans UI" w:hAnsi="Times New Roman" w:cs="Times New Roman"/>
          <w:kern w:val="3"/>
          <w:sz w:val="24"/>
          <w:szCs w:val="24"/>
          <w:lang w:eastAsia="ja-JP" w:bidi="fa-IR"/>
        </w:rPr>
        <w:t xml:space="preserve"> w sali sesyjnej Rady Miasta Luboń odbyło się posiedzenie Komisji Budżetu i Finansów</w:t>
      </w:r>
      <w:r w:rsidR="00BB4E46">
        <w:rPr>
          <w:rFonts w:ascii="Times New Roman" w:eastAsia="Andale Sans UI" w:hAnsi="Times New Roman" w:cs="Times New Roman"/>
          <w:kern w:val="3"/>
          <w:sz w:val="24"/>
          <w:szCs w:val="24"/>
          <w:lang w:eastAsia="ja-JP" w:bidi="fa-IR"/>
        </w:rPr>
        <w:t>.</w:t>
      </w:r>
    </w:p>
    <w:p w14:paraId="06AE0254" w14:textId="77777777" w:rsidR="00E3592D" w:rsidRPr="00A91198" w:rsidRDefault="00E3592D" w:rsidP="00C22532">
      <w:pPr>
        <w:pStyle w:val="Standard"/>
        <w:tabs>
          <w:tab w:val="left" w:pos="3969"/>
        </w:tabs>
        <w:spacing w:line="360" w:lineRule="auto"/>
        <w:jc w:val="both"/>
        <w:rPr>
          <w:rFonts w:cs="Times New Roman"/>
          <w:b/>
          <w:lang w:val="pl-PL"/>
        </w:rPr>
      </w:pPr>
    </w:p>
    <w:p w14:paraId="5C9C166C" w14:textId="77777777" w:rsidR="00E3592D" w:rsidRPr="00A91198" w:rsidRDefault="00E3592D" w:rsidP="00C22532">
      <w:pPr>
        <w:pStyle w:val="Standard"/>
        <w:tabs>
          <w:tab w:val="left" w:pos="3969"/>
        </w:tabs>
        <w:spacing w:line="360" w:lineRule="auto"/>
        <w:jc w:val="both"/>
        <w:rPr>
          <w:rFonts w:cs="Times New Roman"/>
          <w:b/>
          <w:lang w:val="pl-PL"/>
        </w:rPr>
      </w:pPr>
      <w:r w:rsidRPr="00A91198">
        <w:rPr>
          <w:rFonts w:cs="Times New Roman"/>
          <w:b/>
          <w:lang w:val="pl-PL"/>
        </w:rPr>
        <w:t>Porządek obrad:</w:t>
      </w:r>
    </w:p>
    <w:p w14:paraId="6B151921" w14:textId="77777777" w:rsidR="00E3592D" w:rsidRPr="00A91198" w:rsidRDefault="00E3592D" w:rsidP="00C22532">
      <w:pPr>
        <w:pStyle w:val="Standard"/>
        <w:tabs>
          <w:tab w:val="left" w:pos="3969"/>
        </w:tabs>
        <w:spacing w:line="360" w:lineRule="auto"/>
        <w:jc w:val="both"/>
        <w:rPr>
          <w:rFonts w:cs="Times New Roman"/>
          <w:b/>
          <w:lang w:val="pl-PL"/>
        </w:rPr>
      </w:pPr>
    </w:p>
    <w:p w14:paraId="2371F669" w14:textId="77777777" w:rsidR="00E3592D" w:rsidRPr="00D76B5D" w:rsidRDefault="00E3592D"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Otwarcie obrad komisji i stwierdzenie quorum.</w:t>
      </w:r>
    </w:p>
    <w:p w14:paraId="577C601A" w14:textId="77777777" w:rsidR="0006128C" w:rsidRDefault="0006128C"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06128C">
        <w:rPr>
          <w:rFonts w:eastAsia="Times New Roman" w:cs="Times New Roman"/>
          <w:kern w:val="0"/>
          <w:lang w:val="pl-PL" w:eastAsia="pl-PL" w:bidi="ar-SA"/>
        </w:rPr>
        <w:t xml:space="preserve">Informacja dotycząca ściągalności podatków, opłat i innych należności budżetowych </w:t>
      </w:r>
    </w:p>
    <w:p w14:paraId="18F9ED0E" w14:textId="1B33FA7A"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 xml:space="preserve">Opiniowanie projektu uchwały zmieniającej uchwałę budżetową Miasta Luboń </w:t>
      </w:r>
      <w:r w:rsidRPr="006D58EB">
        <w:rPr>
          <w:rFonts w:eastAsia="Times New Roman" w:cs="Times New Roman"/>
          <w:kern w:val="0"/>
          <w:lang w:val="pl-PL" w:eastAsia="pl-PL" w:bidi="ar-SA"/>
        </w:rPr>
        <w:br/>
        <w:t>na 2026 rok</w:t>
      </w:r>
    </w:p>
    <w:p w14:paraId="24B1B5B1"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zmieniającej uchwałę w sprawie uchwalenia Wieloletniej Prognozy Finansowej Miasta Luboń na lata 2026–2045</w:t>
      </w:r>
    </w:p>
    <w:p w14:paraId="2D4260C9" w14:textId="6B237FC2"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Przyjęcie Protokołu nr 2</w:t>
      </w:r>
      <w:r w:rsidR="0006128C">
        <w:rPr>
          <w:rFonts w:eastAsia="Times New Roman" w:cs="Times New Roman"/>
          <w:kern w:val="0"/>
          <w:lang w:val="pl-PL" w:eastAsia="pl-PL" w:bidi="ar-SA"/>
        </w:rPr>
        <w:t>3</w:t>
      </w:r>
      <w:r w:rsidRPr="006D58EB">
        <w:rPr>
          <w:rFonts w:eastAsia="Times New Roman" w:cs="Times New Roman"/>
          <w:kern w:val="0"/>
          <w:lang w:val="pl-PL" w:eastAsia="pl-PL" w:bidi="ar-SA"/>
        </w:rPr>
        <w:t>/202</w:t>
      </w:r>
      <w:r w:rsidR="0006128C">
        <w:rPr>
          <w:rFonts w:eastAsia="Times New Roman" w:cs="Times New Roman"/>
          <w:kern w:val="0"/>
          <w:lang w:val="pl-PL" w:eastAsia="pl-PL" w:bidi="ar-SA"/>
        </w:rPr>
        <w:t>6</w:t>
      </w:r>
      <w:r w:rsidRPr="006D58EB">
        <w:rPr>
          <w:rFonts w:eastAsia="Times New Roman" w:cs="Times New Roman"/>
          <w:kern w:val="0"/>
          <w:lang w:val="pl-PL" w:eastAsia="pl-PL" w:bidi="ar-SA"/>
        </w:rPr>
        <w:t xml:space="preserve"> z dnia </w:t>
      </w:r>
      <w:r w:rsidR="0006128C">
        <w:rPr>
          <w:rFonts w:eastAsia="Times New Roman" w:cs="Times New Roman"/>
          <w:kern w:val="0"/>
          <w:lang w:val="pl-PL" w:eastAsia="pl-PL" w:bidi="ar-SA"/>
        </w:rPr>
        <w:t>11 lutego</w:t>
      </w:r>
      <w:r w:rsidR="00A7294D">
        <w:rPr>
          <w:rFonts w:eastAsia="Times New Roman" w:cs="Times New Roman"/>
          <w:kern w:val="0"/>
          <w:lang w:val="pl-PL" w:eastAsia="pl-PL" w:bidi="ar-SA"/>
        </w:rPr>
        <w:t xml:space="preserve"> 2026</w:t>
      </w:r>
      <w:r w:rsidRPr="006D58EB">
        <w:rPr>
          <w:rFonts w:eastAsia="Times New Roman" w:cs="Times New Roman"/>
          <w:kern w:val="0"/>
          <w:lang w:val="pl-PL" w:eastAsia="pl-PL" w:bidi="ar-SA"/>
        </w:rPr>
        <w:t xml:space="preserve"> r.</w:t>
      </w:r>
    </w:p>
    <w:p w14:paraId="1B6D7CE5" w14:textId="323467A6"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Wolne głosy i wnioski</w:t>
      </w:r>
    </w:p>
    <w:p w14:paraId="08A64F63" w14:textId="3E408351"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Zakończenie posiedzenia.</w:t>
      </w:r>
    </w:p>
    <w:p w14:paraId="4CDA4C70" w14:textId="77777777" w:rsidR="00E3592D"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B35B9D4"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0761C7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F5C35E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5BAEB241"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10E8848"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576D041" w14:textId="77777777" w:rsidR="00A7294D" w:rsidRPr="00A91198"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4D18C5CF" w14:textId="77777777" w:rsidR="0006128C" w:rsidRDefault="0006128C" w:rsidP="00C22532">
      <w:pPr>
        <w:pStyle w:val="Standard"/>
        <w:tabs>
          <w:tab w:val="left" w:pos="3969"/>
        </w:tabs>
        <w:spacing w:line="360" w:lineRule="auto"/>
        <w:rPr>
          <w:rFonts w:cs="Times New Roman"/>
          <w:b/>
          <w:bCs/>
          <w:u w:val="single"/>
          <w:lang w:val="pl-PL"/>
        </w:rPr>
      </w:pPr>
    </w:p>
    <w:p w14:paraId="4821B6A5" w14:textId="77777777" w:rsidR="0006128C" w:rsidRDefault="0006128C" w:rsidP="00C22532">
      <w:pPr>
        <w:pStyle w:val="Standard"/>
        <w:tabs>
          <w:tab w:val="left" w:pos="3969"/>
        </w:tabs>
        <w:spacing w:line="360" w:lineRule="auto"/>
        <w:rPr>
          <w:rFonts w:cs="Times New Roman"/>
          <w:b/>
          <w:bCs/>
          <w:u w:val="single"/>
          <w:lang w:val="pl-PL"/>
        </w:rPr>
      </w:pPr>
    </w:p>
    <w:p w14:paraId="12BF5E44" w14:textId="4A6963AD" w:rsidR="00E3592D" w:rsidRPr="00A91198" w:rsidRDefault="00E3592D" w:rsidP="00C22532">
      <w:pPr>
        <w:pStyle w:val="Standard"/>
        <w:tabs>
          <w:tab w:val="left" w:pos="3969"/>
        </w:tabs>
        <w:spacing w:line="360" w:lineRule="auto"/>
        <w:rPr>
          <w:rFonts w:cs="Times New Roman"/>
          <w:b/>
          <w:bCs/>
          <w:u w:val="single"/>
          <w:lang w:val="pl-PL"/>
        </w:rPr>
      </w:pPr>
      <w:r w:rsidRPr="00A91198">
        <w:rPr>
          <w:rFonts w:cs="Times New Roman"/>
          <w:b/>
          <w:bCs/>
          <w:u w:val="single"/>
          <w:lang w:val="pl-PL"/>
        </w:rPr>
        <w:lastRenderedPageBreak/>
        <w:t>Przebieg posiedzenia:</w:t>
      </w:r>
    </w:p>
    <w:p w14:paraId="52902334" w14:textId="77777777" w:rsidR="00E3592D" w:rsidRPr="00A91198" w:rsidRDefault="00E3592D" w:rsidP="00C22532">
      <w:pPr>
        <w:pStyle w:val="Standard"/>
        <w:tabs>
          <w:tab w:val="left" w:pos="3969"/>
        </w:tabs>
        <w:spacing w:line="360" w:lineRule="auto"/>
        <w:jc w:val="both"/>
        <w:rPr>
          <w:rFonts w:cs="Times New Roman"/>
          <w:lang w:val="pl-PL"/>
        </w:rPr>
      </w:pPr>
    </w:p>
    <w:p w14:paraId="7EA36D2F" w14:textId="77777777" w:rsidR="00E3592D" w:rsidRPr="00A91198" w:rsidRDefault="00E3592D" w:rsidP="00C22532">
      <w:pPr>
        <w:pStyle w:val="Standard"/>
        <w:numPr>
          <w:ilvl w:val="0"/>
          <w:numId w:val="2"/>
        </w:numPr>
        <w:tabs>
          <w:tab w:val="left" w:pos="3969"/>
        </w:tabs>
        <w:spacing w:line="360" w:lineRule="auto"/>
        <w:jc w:val="both"/>
        <w:rPr>
          <w:rFonts w:cs="Times New Roman"/>
          <w:b/>
          <w:u w:val="single"/>
          <w:lang w:val="pl-PL"/>
        </w:rPr>
      </w:pPr>
      <w:r w:rsidRPr="00A91198">
        <w:rPr>
          <w:rFonts w:cs="Times New Roman"/>
          <w:b/>
          <w:u w:val="single"/>
          <w:lang w:val="pl-PL"/>
        </w:rPr>
        <w:t>Otwarcie obrad komisji i stwierdzenie quorum.</w:t>
      </w:r>
    </w:p>
    <w:p w14:paraId="5EA0A879"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546C024C" w14:textId="3C11DFC9" w:rsidR="00E3592D" w:rsidRDefault="00E3592D" w:rsidP="00C22532">
      <w:pPr>
        <w:pStyle w:val="Standard"/>
        <w:tabs>
          <w:tab w:val="left" w:pos="3969"/>
        </w:tabs>
        <w:spacing w:line="360" w:lineRule="auto"/>
        <w:ind w:left="708"/>
        <w:jc w:val="both"/>
        <w:rPr>
          <w:rFonts w:cs="Times New Roman"/>
          <w:lang w:val="pl-PL"/>
        </w:rPr>
      </w:pPr>
      <w:r w:rsidRPr="00A91198">
        <w:rPr>
          <w:rFonts w:cs="Times New Roman"/>
          <w:lang w:val="pl-PL"/>
        </w:rPr>
        <w:t xml:space="preserve">Obrady rozpoczęły się o godzinie </w:t>
      </w:r>
      <w:r w:rsidR="0006128C">
        <w:rPr>
          <w:rFonts w:cs="Times New Roman"/>
          <w:lang w:val="pl-PL"/>
        </w:rPr>
        <w:t>16:00</w:t>
      </w:r>
      <w:r w:rsidRPr="00A91198">
        <w:rPr>
          <w:rFonts w:cs="Times New Roman"/>
          <w:lang w:val="pl-PL"/>
        </w:rPr>
        <w:t xml:space="preserve"> i prowadziła je Przewodnicząca Komisji Budżetu i Finansów Pani Katarzyna </w:t>
      </w:r>
      <w:proofErr w:type="spellStart"/>
      <w:r w:rsidRPr="00A91198">
        <w:rPr>
          <w:rFonts w:cs="Times New Roman"/>
          <w:lang w:val="pl-PL"/>
        </w:rPr>
        <w:t>Ekwińska</w:t>
      </w:r>
      <w:proofErr w:type="spellEnd"/>
      <w:r w:rsidRPr="00A91198">
        <w:rPr>
          <w:rFonts w:cs="Times New Roman"/>
          <w:lang w:val="pl-PL"/>
        </w:rPr>
        <w:t>.</w:t>
      </w:r>
    </w:p>
    <w:p w14:paraId="4EA0FD5E" w14:textId="1C3B4C80" w:rsidR="00E3592D" w:rsidRPr="00A91198" w:rsidRDefault="00E3592D" w:rsidP="00AF1E54">
      <w:pPr>
        <w:pStyle w:val="Standard"/>
        <w:tabs>
          <w:tab w:val="left" w:pos="3969"/>
        </w:tabs>
        <w:spacing w:line="360" w:lineRule="auto"/>
        <w:jc w:val="both"/>
        <w:rPr>
          <w:rFonts w:cs="Times New Roman"/>
          <w:lang w:val="pl-PL"/>
        </w:rPr>
      </w:pPr>
    </w:p>
    <w:p w14:paraId="1124DE3C" w14:textId="3D237F30"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Przeprowadzono sprawdzenie obecności.</w:t>
      </w:r>
    </w:p>
    <w:p w14:paraId="4E6E6A87" w14:textId="77777777" w:rsidR="00E3592D" w:rsidRPr="00A91198" w:rsidRDefault="00E3592D" w:rsidP="00C22532">
      <w:pPr>
        <w:pStyle w:val="Standard"/>
        <w:tabs>
          <w:tab w:val="left" w:pos="3969"/>
        </w:tabs>
        <w:spacing w:line="360"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E3592D" w:rsidRPr="00A91198" w14:paraId="2464278C" w14:textId="77777777"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50C4AE6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Lista Obecności</w:t>
            </w:r>
          </w:p>
        </w:tc>
      </w:tr>
      <w:tr w:rsidR="00E3592D" w:rsidRPr="00A91198" w14:paraId="10F83CFA" w14:textId="77777777"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14DF62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16EA382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3277EF4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E24485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obecność</w:t>
            </w:r>
          </w:p>
        </w:tc>
      </w:tr>
      <w:tr w:rsidR="00E3592D" w:rsidRPr="00A91198" w14:paraId="64ED06B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E47F09B"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8E61D1C"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 xml:space="preserve">Katarzyna </w:t>
            </w:r>
            <w:proofErr w:type="spellStart"/>
            <w:r w:rsidRPr="00A91198">
              <w:rPr>
                <w:rFonts w:ascii="Times New Roman" w:eastAsia="Andale Sans UI" w:hAnsi="Times New Roman" w:cs="Times New Roman"/>
                <w:kern w:val="3"/>
                <w:sz w:val="24"/>
                <w:szCs w:val="24"/>
                <w:lang w:eastAsia="ja-JP" w:bidi="fa-IR"/>
              </w:rPr>
              <w:t>Ekwińska</w:t>
            </w:r>
            <w:proofErr w:type="spellEnd"/>
          </w:p>
        </w:tc>
        <w:tc>
          <w:tcPr>
            <w:tcW w:w="2268" w:type="dxa"/>
            <w:tcBorders>
              <w:top w:val="nil"/>
              <w:left w:val="nil"/>
              <w:bottom w:val="single" w:sz="4" w:space="0" w:color="auto"/>
              <w:right w:val="single" w:sz="4" w:space="0" w:color="auto"/>
            </w:tcBorders>
            <w:noWrap/>
            <w:vAlign w:val="bottom"/>
            <w:hideMark/>
          </w:tcPr>
          <w:p w14:paraId="3EF79AD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3BFC9BA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34C86D8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7426EC79"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144AC9E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 xml:space="preserve">Monika Izabela </w:t>
            </w:r>
            <w:proofErr w:type="spellStart"/>
            <w:r w:rsidRPr="00A91198">
              <w:rPr>
                <w:rFonts w:ascii="Times New Roman" w:eastAsia="Andale Sans UI" w:hAnsi="Times New Roman" w:cs="Times New Roman"/>
                <w:kern w:val="3"/>
                <w:sz w:val="24"/>
                <w:szCs w:val="24"/>
                <w:lang w:eastAsia="ja-JP" w:bidi="fa-IR"/>
              </w:rPr>
              <w:t>Nawrot</w:t>
            </w:r>
            <w:proofErr w:type="spellEnd"/>
          </w:p>
        </w:tc>
        <w:tc>
          <w:tcPr>
            <w:tcW w:w="2268" w:type="dxa"/>
            <w:tcBorders>
              <w:top w:val="nil"/>
              <w:left w:val="nil"/>
              <w:bottom w:val="single" w:sz="4" w:space="0" w:color="auto"/>
              <w:right w:val="single" w:sz="4" w:space="0" w:color="auto"/>
            </w:tcBorders>
            <w:noWrap/>
            <w:vAlign w:val="bottom"/>
            <w:hideMark/>
          </w:tcPr>
          <w:p w14:paraId="14317F9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49F77175" w14:textId="014AAE0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28E963B8"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081F57C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576039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0B74A375"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14AF6CB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BF925C9"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CA36423"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4345417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52ED7F9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C45C73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DA28B5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402B5388"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5930552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 xml:space="preserve">Jakub Przemysław </w:t>
            </w:r>
            <w:proofErr w:type="spellStart"/>
            <w:r w:rsidRPr="00A91198">
              <w:rPr>
                <w:rFonts w:ascii="Times New Roman" w:eastAsia="Andale Sans UI" w:hAnsi="Times New Roman" w:cs="Times New Roman"/>
                <w:kern w:val="3"/>
                <w:sz w:val="24"/>
                <w:szCs w:val="24"/>
                <w:lang w:eastAsia="ja-JP" w:bidi="fa-IR"/>
              </w:rPr>
              <w:t>Jelinski</w:t>
            </w:r>
            <w:proofErr w:type="spellEnd"/>
          </w:p>
        </w:tc>
        <w:tc>
          <w:tcPr>
            <w:tcW w:w="2268" w:type="dxa"/>
            <w:tcBorders>
              <w:top w:val="nil"/>
              <w:left w:val="nil"/>
              <w:bottom w:val="single" w:sz="4" w:space="0" w:color="auto"/>
              <w:right w:val="single" w:sz="4" w:space="0" w:color="auto"/>
            </w:tcBorders>
            <w:noWrap/>
            <w:vAlign w:val="bottom"/>
            <w:hideMark/>
          </w:tcPr>
          <w:p w14:paraId="2E3ED331"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3B38D07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79C39F6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2FC8A38F"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F3770B4"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 xml:space="preserve">Teresa </w:t>
            </w:r>
            <w:proofErr w:type="spellStart"/>
            <w:r w:rsidRPr="00A91198">
              <w:rPr>
                <w:rFonts w:ascii="Times New Roman" w:eastAsia="Andale Sans UI" w:hAnsi="Times New Roman" w:cs="Times New Roman"/>
                <w:kern w:val="3"/>
                <w:sz w:val="24"/>
                <w:szCs w:val="24"/>
                <w:lang w:eastAsia="ja-JP" w:bidi="fa-IR"/>
              </w:rPr>
              <w:t>Zygmanowska</w:t>
            </w:r>
            <w:proofErr w:type="spellEnd"/>
          </w:p>
        </w:tc>
        <w:tc>
          <w:tcPr>
            <w:tcW w:w="2268" w:type="dxa"/>
            <w:tcBorders>
              <w:top w:val="nil"/>
              <w:left w:val="nil"/>
              <w:bottom w:val="single" w:sz="4" w:space="0" w:color="auto"/>
              <w:right w:val="single" w:sz="4" w:space="0" w:color="auto"/>
            </w:tcBorders>
            <w:noWrap/>
            <w:vAlign w:val="bottom"/>
            <w:hideMark/>
          </w:tcPr>
          <w:p w14:paraId="4CEB755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2780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B18E4B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60C7EE3E"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710B9976"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 xml:space="preserve">Hieronim </w:t>
            </w:r>
            <w:proofErr w:type="spellStart"/>
            <w:r w:rsidRPr="00A91198">
              <w:rPr>
                <w:rFonts w:ascii="Times New Roman" w:eastAsia="Andale Sans UI" w:hAnsi="Times New Roman" w:cs="Times New Roman"/>
                <w:kern w:val="3"/>
                <w:sz w:val="24"/>
                <w:szCs w:val="24"/>
                <w:lang w:eastAsia="ja-JP" w:bidi="fa-IR"/>
              </w:rPr>
              <w:t>Gawelski</w:t>
            </w:r>
            <w:proofErr w:type="spellEnd"/>
          </w:p>
        </w:tc>
        <w:tc>
          <w:tcPr>
            <w:tcW w:w="2268" w:type="dxa"/>
            <w:tcBorders>
              <w:top w:val="nil"/>
              <w:left w:val="nil"/>
              <w:bottom w:val="single" w:sz="4" w:space="0" w:color="auto"/>
              <w:right w:val="single" w:sz="4" w:space="0" w:color="auto"/>
            </w:tcBorders>
            <w:noWrap/>
            <w:vAlign w:val="bottom"/>
            <w:hideMark/>
          </w:tcPr>
          <w:p w14:paraId="650B350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FD725A"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CFABA6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50B7B2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347F665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16872BF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AAF952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667CD4F1"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9CD360A"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309F01D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Elżbieta Zapłata-</w:t>
            </w:r>
            <w:proofErr w:type="spellStart"/>
            <w:r w:rsidRPr="00A91198">
              <w:rPr>
                <w:rFonts w:ascii="Times New Roman" w:eastAsia="Andale Sans UI" w:hAnsi="Times New Roman" w:cs="Times New Roman"/>
                <w:kern w:val="3"/>
                <w:sz w:val="24"/>
                <w:szCs w:val="24"/>
                <w:lang w:eastAsia="ja-JP" w:bidi="fa-IR"/>
              </w:rPr>
              <w:t>Szwedziak</w:t>
            </w:r>
            <w:proofErr w:type="spellEnd"/>
          </w:p>
        </w:tc>
        <w:tc>
          <w:tcPr>
            <w:tcW w:w="2268" w:type="dxa"/>
            <w:tcBorders>
              <w:top w:val="nil"/>
              <w:left w:val="nil"/>
              <w:bottom w:val="single" w:sz="4" w:space="0" w:color="auto"/>
              <w:right w:val="single" w:sz="4" w:space="0" w:color="auto"/>
            </w:tcBorders>
            <w:noWrap/>
            <w:vAlign w:val="bottom"/>
            <w:hideMark/>
          </w:tcPr>
          <w:p w14:paraId="5F155CC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19544CA" w14:textId="704033A5" w:rsidR="00E3592D" w:rsidRPr="00A91198" w:rsidRDefault="00E503AC"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bl>
    <w:p w14:paraId="5121FC2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FD4550B"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Stwierdzono quorum.</w:t>
      </w:r>
    </w:p>
    <w:p w14:paraId="0F37EBFC" w14:textId="2B388D54" w:rsidR="00B9078C" w:rsidRPr="00A91198" w:rsidRDefault="00B9078C" w:rsidP="00C22532">
      <w:pPr>
        <w:pStyle w:val="Standard"/>
        <w:tabs>
          <w:tab w:val="left" w:pos="3969"/>
        </w:tabs>
        <w:spacing w:line="360" w:lineRule="auto"/>
        <w:ind w:left="708"/>
        <w:jc w:val="both"/>
        <w:rPr>
          <w:rFonts w:cs="Times New Roman"/>
          <w:lang w:val="pl-PL"/>
        </w:rPr>
      </w:pPr>
      <w:r w:rsidRPr="00A91198">
        <w:rPr>
          <w:rFonts w:cs="Times New Roman"/>
          <w:lang w:val="pl-PL"/>
        </w:rPr>
        <w:t>Obecny</w:t>
      </w:r>
      <w:r w:rsidR="00A7294D">
        <w:rPr>
          <w:rFonts w:cs="Times New Roman"/>
          <w:lang w:val="pl-PL"/>
        </w:rPr>
        <w:t>ch</w:t>
      </w:r>
      <w:r w:rsidRPr="00A91198">
        <w:rPr>
          <w:rFonts w:cs="Times New Roman"/>
          <w:lang w:val="pl-PL"/>
        </w:rPr>
        <w:t xml:space="preserve"> było </w:t>
      </w:r>
      <w:r w:rsidR="00E503AC">
        <w:rPr>
          <w:rFonts w:cs="Times New Roman"/>
          <w:lang w:val="pl-PL"/>
        </w:rPr>
        <w:t>9</w:t>
      </w:r>
      <w:r w:rsidRPr="00A91198">
        <w:rPr>
          <w:rFonts w:cs="Times New Roman"/>
          <w:lang w:val="pl-PL"/>
        </w:rPr>
        <w:t xml:space="preserve"> członków komisji</w:t>
      </w:r>
      <w:r w:rsidR="00E503AC">
        <w:rPr>
          <w:rFonts w:cs="Times New Roman"/>
          <w:lang w:val="pl-PL"/>
        </w:rPr>
        <w:t>.</w:t>
      </w:r>
    </w:p>
    <w:p w14:paraId="2FCF42CA" w14:textId="77777777" w:rsidR="00E3592D" w:rsidRPr="00A91198" w:rsidRDefault="00E3592D" w:rsidP="00C22532">
      <w:pPr>
        <w:pStyle w:val="Standard"/>
        <w:tabs>
          <w:tab w:val="left" w:pos="3969"/>
        </w:tabs>
        <w:spacing w:line="360" w:lineRule="auto"/>
        <w:ind w:left="1065"/>
        <w:jc w:val="both"/>
        <w:rPr>
          <w:rFonts w:cs="Times New Roman"/>
          <w:lang w:val="pl-PL"/>
        </w:rPr>
      </w:pPr>
    </w:p>
    <w:p w14:paraId="3D421746"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W posiedzeniu Komisji, poza jej członkami, udział wzięli również:</w:t>
      </w:r>
    </w:p>
    <w:p w14:paraId="2B83B4BE" w14:textId="77777777" w:rsidR="00E3592D" w:rsidRPr="00A91198" w:rsidRDefault="00E3592D" w:rsidP="00C22532">
      <w:pPr>
        <w:pStyle w:val="Standard"/>
        <w:tabs>
          <w:tab w:val="left" w:pos="3969"/>
        </w:tabs>
        <w:spacing w:line="360" w:lineRule="auto"/>
        <w:ind w:firstLine="708"/>
        <w:jc w:val="both"/>
        <w:rPr>
          <w:rFonts w:cs="Times New Roman"/>
          <w:lang w:val="pl-PL"/>
        </w:rPr>
      </w:pPr>
    </w:p>
    <w:p w14:paraId="6ACD4D45" w14:textId="587562DC" w:rsidR="00A7294D" w:rsidRDefault="0006128C" w:rsidP="00C22532">
      <w:pPr>
        <w:pStyle w:val="Standard"/>
        <w:tabs>
          <w:tab w:val="left" w:pos="3969"/>
        </w:tabs>
        <w:spacing w:line="360" w:lineRule="auto"/>
        <w:ind w:firstLine="708"/>
        <w:jc w:val="both"/>
        <w:rPr>
          <w:rFonts w:cs="Times New Roman"/>
          <w:lang w:val="pl-PL"/>
        </w:rPr>
      </w:pPr>
      <w:r>
        <w:rPr>
          <w:rFonts w:cs="Times New Roman"/>
          <w:lang w:val="pl-PL"/>
        </w:rPr>
        <w:t>Małgorzata Machalska – Burmistrz Miasta Luboń</w:t>
      </w:r>
    </w:p>
    <w:p w14:paraId="4C671C71" w14:textId="22AAD849" w:rsidR="00E3592D"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 xml:space="preserve">Mirosław </w:t>
      </w:r>
      <w:proofErr w:type="spellStart"/>
      <w:r w:rsidRPr="00A91198">
        <w:rPr>
          <w:rFonts w:cs="Times New Roman"/>
          <w:lang w:val="pl-PL"/>
        </w:rPr>
        <w:t>Stromczyński</w:t>
      </w:r>
      <w:proofErr w:type="spellEnd"/>
      <w:r w:rsidR="0006128C">
        <w:rPr>
          <w:rFonts w:cs="Times New Roman"/>
          <w:lang w:val="pl-PL"/>
        </w:rPr>
        <w:t xml:space="preserve"> - </w:t>
      </w:r>
      <w:r w:rsidR="0006128C" w:rsidRPr="00A91198">
        <w:rPr>
          <w:rFonts w:cs="Times New Roman"/>
          <w:lang w:val="pl-PL"/>
        </w:rPr>
        <w:t>Skarbnik Miasta</w:t>
      </w:r>
    </w:p>
    <w:p w14:paraId="79CA1273" w14:textId="6BB50363" w:rsidR="0006128C" w:rsidRDefault="0006128C" w:rsidP="00C22532">
      <w:pPr>
        <w:pStyle w:val="Standard"/>
        <w:tabs>
          <w:tab w:val="left" w:pos="3969"/>
        </w:tabs>
        <w:spacing w:line="360" w:lineRule="auto"/>
        <w:ind w:firstLine="708"/>
        <w:jc w:val="both"/>
        <w:rPr>
          <w:rFonts w:cs="Times New Roman"/>
          <w:lang w:val="pl-PL"/>
        </w:rPr>
      </w:pPr>
      <w:r>
        <w:rPr>
          <w:rFonts w:cs="Times New Roman"/>
          <w:lang w:val="pl-PL"/>
        </w:rPr>
        <w:t xml:space="preserve">Alicja Olejniczak - </w:t>
      </w:r>
      <w:r w:rsidRPr="0006128C">
        <w:rPr>
          <w:rFonts w:cs="Times New Roman"/>
          <w:lang w:val="pl-PL"/>
        </w:rPr>
        <w:t>Kierownik Wydziału Podatków i Opłat</w:t>
      </w:r>
    </w:p>
    <w:p w14:paraId="0655871D" w14:textId="77777777" w:rsidR="0006128C" w:rsidRDefault="0006128C" w:rsidP="00C22532">
      <w:pPr>
        <w:pStyle w:val="Standard"/>
        <w:tabs>
          <w:tab w:val="left" w:pos="3969"/>
        </w:tabs>
        <w:spacing w:line="360" w:lineRule="auto"/>
        <w:ind w:firstLine="708"/>
        <w:jc w:val="both"/>
        <w:rPr>
          <w:rFonts w:cs="Times New Roman"/>
          <w:lang w:val="pl-PL"/>
        </w:rPr>
      </w:pPr>
    </w:p>
    <w:p w14:paraId="1A69D166" w14:textId="77777777" w:rsidR="00A7294D" w:rsidRPr="00A91198" w:rsidRDefault="00A7294D" w:rsidP="00C22532">
      <w:pPr>
        <w:pStyle w:val="Standard"/>
        <w:tabs>
          <w:tab w:val="left" w:pos="3969"/>
        </w:tabs>
        <w:spacing w:line="360" w:lineRule="auto"/>
        <w:ind w:firstLine="708"/>
        <w:jc w:val="both"/>
        <w:rPr>
          <w:rFonts w:cs="Times New Roman"/>
          <w:lang w:val="pl-PL"/>
        </w:rPr>
      </w:pPr>
    </w:p>
    <w:p w14:paraId="2ABAF5CA" w14:textId="77777777" w:rsidR="00E3592D" w:rsidRPr="00A91198" w:rsidRDefault="00E3592D" w:rsidP="00C22532">
      <w:pPr>
        <w:spacing w:line="360" w:lineRule="auto"/>
        <w:jc w:val="both"/>
        <w:rPr>
          <w:rFonts w:ascii="Times New Roman" w:hAnsi="Times New Roman" w:cs="Times New Roman"/>
          <w:b/>
          <w:bCs/>
          <w:sz w:val="24"/>
          <w:szCs w:val="24"/>
        </w:rPr>
      </w:pPr>
    </w:p>
    <w:p w14:paraId="543CF8E4" w14:textId="6400E578" w:rsidR="00276280" w:rsidRDefault="00B9078C" w:rsidP="00C22532">
      <w:pPr>
        <w:spacing w:line="360" w:lineRule="auto"/>
        <w:rPr>
          <w:rFonts w:ascii="Times New Roman" w:hAnsi="Times New Roman" w:cs="Times New Roman"/>
          <w:sz w:val="24"/>
          <w:szCs w:val="24"/>
        </w:rPr>
      </w:pPr>
      <w:r w:rsidRPr="00A91198">
        <w:rPr>
          <w:rFonts w:ascii="Times New Roman" w:hAnsi="Times New Roman" w:cs="Times New Roman"/>
          <w:sz w:val="24"/>
          <w:szCs w:val="24"/>
        </w:rPr>
        <w:tab/>
      </w:r>
    </w:p>
    <w:p w14:paraId="48485238" w14:textId="77777777" w:rsidR="00AA7913" w:rsidRPr="00A91198" w:rsidRDefault="00AA7913" w:rsidP="00C22532">
      <w:pPr>
        <w:spacing w:line="360" w:lineRule="auto"/>
        <w:rPr>
          <w:rFonts w:ascii="Times New Roman" w:hAnsi="Times New Roman" w:cs="Times New Roman"/>
          <w:sz w:val="24"/>
          <w:szCs w:val="24"/>
        </w:rPr>
      </w:pPr>
    </w:p>
    <w:p w14:paraId="18035677" w14:textId="2D1A7B72" w:rsidR="0006128C" w:rsidRPr="0006128C" w:rsidRDefault="0006128C" w:rsidP="00AA7913">
      <w:pPr>
        <w:pStyle w:val="Akapitzlist"/>
        <w:numPr>
          <w:ilvl w:val="0"/>
          <w:numId w:val="2"/>
        </w:numPr>
        <w:rPr>
          <w:rFonts w:ascii="Times New Roman" w:hAnsi="Times New Roman" w:cs="Times New Roman"/>
          <w:b/>
          <w:bCs/>
          <w:sz w:val="24"/>
          <w:szCs w:val="24"/>
          <w:u w:val="single"/>
        </w:rPr>
      </w:pPr>
      <w:r w:rsidRPr="0006128C">
        <w:rPr>
          <w:rFonts w:ascii="Times New Roman" w:hAnsi="Times New Roman" w:cs="Times New Roman"/>
          <w:b/>
          <w:bCs/>
          <w:sz w:val="24"/>
          <w:szCs w:val="24"/>
          <w:u w:val="single"/>
        </w:rPr>
        <w:t>Informacja dotycząca ściągalności podatków, opłat i innych należności budżetowych oraz dyskusja radnych</w:t>
      </w:r>
    </w:p>
    <w:p w14:paraId="28DE0D6F" w14:textId="77777777" w:rsidR="0006128C" w:rsidRDefault="0006128C" w:rsidP="00AA7913">
      <w:pPr>
        <w:pStyle w:val="Akapitzlist"/>
        <w:rPr>
          <w:rFonts w:ascii="Times New Roman" w:hAnsi="Times New Roman" w:cs="Times New Roman"/>
          <w:b/>
          <w:bCs/>
          <w:sz w:val="24"/>
          <w:szCs w:val="24"/>
          <w:u w:val="single"/>
        </w:rPr>
      </w:pPr>
    </w:p>
    <w:p w14:paraId="7360B44D" w14:textId="77777777"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Przewodnicząca Komisji Budżetu i Finansów Katarzyna </w:t>
      </w:r>
      <w:proofErr w:type="spellStart"/>
      <w:r w:rsidRPr="0006128C">
        <w:rPr>
          <w:rFonts w:ascii="Times New Roman" w:hAnsi="Times New Roman" w:cs="Times New Roman"/>
          <w:sz w:val="24"/>
          <w:szCs w:val="24"/>
        </w:rPr>
        <w:t>Ekwińska</w:t>
      </w:r>
      <w:proofErr w:type="spellEnd"/>
      <w:r w:rsidRPr="0006128C">
        <w:rPr>
          <w:rFonts w:ascii="Times New Roman" w:hAnsi="Times New Roman" w:cs="Times New Roman"/>
          <w:sz w:val="24"/>
          <w:szCs w:val="24"/>
        </w:rPr>
        <w:t xml:space="preserve"> poinformowała, że radnym została przekazana drogą mailową informacja przygotowana przez Skarbnika Miasta, obejmująca dane opisowe oraz zestawienie tabelaryczne dotyczące wykonania dochodów, w tym ściągalności podatków i opłat. Następnie zwróciła się do Skarbnika Miasta z pytaniem, czy chciałby uzupełnić przekazane materiały.</w:t>
      </w:r>
    </w:p>
    <w:p w14:paraId="5FF1EDF3" w14:textId="77777777" w:rsidR="0006128C" w:rsidRPr="0006128C" w:rsidRDefault="0006128C" w:rsidP="0006128C">
      <w:pPr>
        <w:pStyle w:val="Akapitzlist"/>
        <w:jc w:val="both"/>
        <w:rPr>
          <w:rFonts w:ascii="Times New Roman" w:hAnsi="Times New Roman" w:cs="Times New Roman"/>
          <w:sz w:val="24"/>
          <w:szCs w:val="24"/>
        </w:rPr>
      </w:pPr>
    </w:p>
    <w:p w14:paraId="5F426668" w14:textId="5170E2CB"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Skarbnik Miasta Mirosław </w:t>
      </w:r>
      <w:proofErr w:type="spellStart"/>
      <w:r w:rsidRPr="0006128C">
        <w:rPr>
          <w:rFonts w:ascii="Times New Roman" w:hAnsi="Times New Roman" w:cs="Times New Roman"/>
          <w:sz w:val="24"/>
          <w:szCs w:val="24"/>
        </w:rPr>
        <w:t>Stromczyński</w:t>
      </w:r>
      <w:proofErr w:type="spellEnd"/>
      <w:r w:rsidRPr="0006128C">
        <w:rPr>
          <w:rFonts w:ascii="Times New Roman" w:hAnsi="Times New Roman" w:cs="Times New Roman"/>
          <w:sz w:val="24"/>
          <w:szCs w:val="24"/>
        </w:rPr>
        <w:t xml:space="preserve"> wyjaśnił, że przedstawione zestawienie </w:t>
      </w:r>
      <w:r>
        <w:rPr>
          <w:rFonts w:ascii="Times New Roman" w:hAnsi="Times New Roman" w:cs="Times New Roman"/>
          <w:sz w:val="24"/>
          <w:szCs w:val="24"/>
        </w:rPr>
        <w:br/>
      </w:r>
      <w:r w:rsidRPr="0006128C">
        <w:rPr>
          <w:rFonts w:ascii="Times New Roman" w:hAnsi="Times New Roman" w:cs="Times New Roman"/>
          <w:sz w:val="24"/>
          <w:szCs w:val="24"/>
        </w:rPr>
        <w:t>w podobnym układzie zostanie również ujęte w sprawozdaniu opisowym z wykonania budżetu za 2025 rok. Wskazał, że poziom ściągalności podatków i opłat w kolejnych latach pozostaje zasadniczo na podobnym poziomie, przy występowaniu jedynie niewielkich odchyleń. Podkreślił, że dane zostały przygotowane w sposób umożliwiający porównanie skali zaległości zarówno w ujęciu kwotowym, jak i w relacji do wykonanych dochodów ogółem, ponieważ same wartości bezwzględne, przy zmieniających się stawkach, nie dają pełnego obrazu sytuacji.</w:t>
      </w:r>
    </w:p>
    <w:p w14:paraId="115F8989" w14:textId="77777777" w:rsidR="0006128C" w:rsidRPr="0006128C" w:rsidRDefault="0006128C" w:rsidP="0006128C">
      <w:pPr>
        <w:pStyle w:val="Akapitzlist"/>
        <w:jc w:val="both"/>
        <w:rPr>
          <w:rFonts w:ascii="Times New Roman" w:hAnsi="Times New Roman" w:cs="Times New Roman"/>
          <w:sz w:val="24"/>
          <w:szCs w:val="24"/>
        </w:rPr>
      </w:pPr>
    </w:p>
    <w:p w14:paraId="192C19E0" w14:textId="72B97516"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W dalszej części Kierownik Wydziału Podatków i Opłat Alicja Olejniczak omówiła praktyczne działania windykacyjne podejmowane przez urząd. Wyjaśniła, że wobec dłużników stosowana jest kolejno procedura kontaktu telefonicznego, wysyłania upomnień, a następnie kierowania tytułów wykonawczych. Podkreśliła, że działania te podejmowane są możliwie wcześnie, a w przypadku osób prawnych, które regulują zobowiązania w cyklu miesięcznym, monitoring płatności jest bardziej szczegółowy </w:t>
      </w:r>
      <w:r>
        <w:rPr>
          <w:rFonts w:ascii="Times New Roman" w:hAnsi="Times New Roman" w:cs="Times New Roman"/>
          <w:sz w:val="24"/>
          <w:szCs w:val="24"/>
        </w:rPr>
        <w:br/>
      </w:r>
      <w:r w:rsidRPr="0006128C">
        <w:rPr>
          <w:rFonts w:ascii="Times New Roman" w:hAnsi="Times New Roman" w:cs="Times New Roman"/>
          <w:sz w:val="24"/>
          <w:szCs w:val="24"/>
        </w:rPr>
        <w:t>i obejmuje również bieżące przypomnienia mailowe. Wskazała, że gdy egzekucja okazuje się nieskuteczna, urząd podejmuje dalsze czynności, w tym wpisy na hipotekę. Zaznaczyła, że po skierowaniu sprawy do dalszej egzekucji reakcje dłużników są często bardzo szybkie, zwłaszcza po zastosowaniu zajęć rachunków bankowych przez urząd skarbowy. Dodała, że na przestrzeni lat poprawie uległa skuteczność egzekucji, czemu sprzyja również wzrost kosztów egzekucyjnych ponoszonych przez dłużników.</w:t>
      </w:r>
    </w:p>
    <w:p w14:paraId="4BE95654" w14:textId="77777777" w:rsidR="0006128C" w:rsidRPr="0006128C" w:rsidRDefault="0006128C" w:rsidP="0006128C">
      <w:pPr>
        <w:pStyle w:val="Akapitzlist"/>
        <w:jc w:val="both"/>
        <w:rPr>
          <w:rFonts w:ascii="Times New Roman" w:hAnsi="Times New Roman" w:cs="Times New Roman"/>
          <w:sz w:val="24"/>
          <w:szCs w:val="24"/>
        </w:rPr>
      </w:pPr>
    </w:p>
    <w:p w14:paraId="51A1B7F2" w14:textId="69AC1398"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W odpowiedzi na pytanie Przewodniczącej Komisji, czy można stwierdzić poprawę </w:t>
      </w:r>
      <w:r>
        <w:rPr>
          <w:rFonts w:ascii="Times New Roman" w:hAnsi="Times New Roman" w:cs="Times New Roman"/>
          <w:sz w:val="24"/>
          <w:szCs w:val="24"/>
        </w:rPr>
        <w:br/>
      </w:r>
      <w:r w:rsidRPr="0006128C">
        <w:rPr>
          <w:rFonts w:ascii="Times New Roman" w:hAnsi="Times New Roman" w:cs="Times New Roman"/>
          <w:sz w:val="24"/>
          <w:szCs w:val="24"/>
        </w:rPr>
        <w:t xml:space="preserve">w zakresie ściągalności zaległości, Alicja Olejniczak wskazała, że w praktyce często są to te same grupy dłużników, natomiast nominalna wysokość zaległości w części przypadków rośnie z uwagi na wzrost stawek. Skarbnik Miasta doprecyzował jednak, że ocena sytuacji wymaga analizy relacji zaległości do wykonanych dochodów. W tym ujęciu zauważalne jest zmniejszenie zaległości w podatku od nieruchomości od osób fizycznych, zarówno w wartościach bezwzględnych, jak i w relacji do dochodów. Jednocześnie zaznaczył, że w podatku od nieruchomości od osób prawnych odnotowano pewien wzrost zaległości, co bywa skutkiem jednostkowych przypadków, gdy jedna lub dwie spółki w istotny sposób wpływają na obraz całej pozycji dochodowej. Kierownik Wydziału Podatków i Opłat dodała, że zdarzają się sytuacje, </w:t>
      </w:r>
      <w:r>
        <w:rPr>
          <w:rFonts w:ascii="Times New Roman" w:hAnsi="Times New Roman" w:cs="Times New Roman"/>
          <w:sz w:val="24"/>
          <w:szCs w:val="24"/>
        </w:rPr>
        <w:br/>
      </w:r>
      <w:r w:rsidRPr="0006128C">
        <w:rPr>
          <w:rFonts w:ascii="Times New Roman" w:hAnsi="Times New Roman" w:cs="Times New Roman"/>
          <w:sz w:val="24"/>
          <w:szCs w:val="24"/>
        </w:rPr>
        <w:t xml:space="preserve">w których zaległości dotyczące wcześniejszych lat są naliczane wobec spółek, które </w:t>
      </w:r>
      <w:r>
        <w:rPr>
          <w:rFonts w:ascii="Times New Roman" w:hAnsi="Times New Roman" w:cs="Times New Roman"/>
          <w:sz w:val="24"/>
          <w:szCs w:val="24"/>
        </w:rPr>
        <w:br/>
      </w:r>
      <w:r w:rsidRPr="0006128C">
        <w:rPr>
          <w:rFonts w:ascii="Times New Roman" w:hAnsi="Times New Roman" w:cs="Times New Roman"/>
          <w:sz w:val="24"/>
          <w:szCs w:val="24"/>
        </w:rPr>
        <w:t>w międzyczasie zmieniły strukturę lub sposób działania, co istotnie utrudnia skuteczne dochodzenie należności.</w:t>
      </w:r>
    </w:p>
    <w:p w14:paraId="441A9A2D" w14:textId="77777777" w:rsidR="0006128C" w:rsidRPr="0006128C" w:rsidRDefault="0006128C" w:rsidP="0006128C">
      <w:pPr>
        <w:pStyle w:val="Akapitzlist"/>
        <w:jc w:val="both"/>
        <w:rPr>
          <w:rFonts w:ascii="Times New Roman" w:hAnsi="Times New Roman" w:cs="Times New Roman"/>
          <w:sz w:val="24"/>
          <w:szCs w:val="24"/>
        </w:rPr>
      </w:pPr>
    </w:p>
    <w:p w14:paraId="4B999354" w14:textId="2A713715"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Następnie Przewodnicząca Komisji zapytała o zaległości dotyczące opłat za zezwolenia na sprzedaż alkoholu oraz o możliwość cofnięcia takiego zezwolenia. Alicja Olejniczak wyjaśniła, że opłaty z tego tytułu wnoszone są trzy razy w roku, a terminy mają charakter ustawowy. Podkreśliła, że nawet minimalna niedopłata skutkuje uruchomieniem określonej procedury, obejmującej naliczenie dodatkowej opłaty, </w:t>
      </w:r>
      <w:r>
        <w:rPr>
          <w:rFonts w:ascii="Times New Roman" w:hAnsi="Times New Roman" w:cs="Times New Roman"/>
          <w:sz w:val="24"/>
          <w:szCs w:val="24"/>
        </w:rPr>
        <w:br/>
      </w:r>
      <w:r w:rsidRPr="0006128C">
        <w:rPr>
          <w:rFonts w:ascii="Times New Roman" w:hAnsi="Times New Roman" w:cs="Times New Roman"/>
          <w:sz w:val="24"/>
          <w:szCs w:val="24"/>
        </w:rPr>
        <w:t>a w przypadku dalszego braku zapłaty możliwe jest rozwiązanie sprawy w sposób przewidziany przepisami, włącznie z cofnięciem uprawnień.</w:t>
      </w:r>
    </w:p>
    <w:p w14:paraId="5DB5D555" w14:textId="77777777" w:rsidR="0006128C" w:rsidRPr="0006128C" w:rsidRDefault="0006128C" w:rsidP="0006128C">
      <w:pPr>
        <w:pStyle w:val="Akapitzlist"/>
        <w:jc w:val="both"/>
        <w:rPr>
          <w:rFonts w:ascii="Times New Roman" w:hAnsi="Times New Roman" w:cs="Times New Roman"/>
          <w:sz w:val="24"/>
          <w:szCs w:val="24"/>
        </w:rPr>
      </w:pPr>
    </w:p>
    <w:p w14:paraId="23C5F339" w14:textId="77777777"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Radny Konrad Dominiak poruszył następnie temat opłat za gospodarowanie odpadami komunalnymi, pytając o możliwości windykacji oraz o to, czy w razie uporczywego braku płatności możliwe byłoby wypowiedzenie takiej „umowy”. W odpowiedzi Skarbnik Miasta wyjaśnił, że w przypadku gospodarowania odpadami komunalnymi gmina działa w ramach ustawowego obowiązku organizacji systemu odbioru odpadów, a należności mieszkańców mają charakter publicznoprawny, zbliżony do podatku, a nie opłaty wynikającej z klasycznej umowy cywilnoprawnej. Tym samym nie występuje możliwość „wypowiedzenia umowy” w takim sensie jak przy usługach komercyjnych.</w:t>
      </w:r>
    </w:p>
    <w:p w14:paraId="7C10A746" w14:textId="77777777" w:rsidR="0006128C" w:rsidRPr="0006128C" w:rsidRDefault="0006128C" w:rsidP="0006128C">
      <w:pPr>
        <w:pStyle w:val="Akapitzlist"/>
        <w:jc w:val="both"/>
        <w:rPr>
          <w:rFonts w:ascii="Times New Roman" w:hAnsi="Times New Roman" w:cs="Times New Roman"/>
          <w:sz w:val="24"/>
          <w:szCs w:val="24"/>
        </w:rPr>
      </w:pPr>
    </w:p>
    <w:p w14:paraId="25EE12E8" w14:textId="545ADE38"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W dalszej kolejności radny Konrad Dominiak zapytał również o podatek od środków transportowych. Skarbnik Miasta wyjaśnił, że dotyczy on posiadaczy określonych pojazdów, w szczególności samochodów ciężarowych o odpowiedniej dopuszczalnej masie całkowitej, i obciąża zarówno osoby fizyczne, jak i przedsiębiorców oraz inne podmioty posiadające tego rodzaju środki transportu. W toku rozmowy doprecyzowano także kwestie związane z opłatami za zajęcie pasa drogowego oraz za umieszczenie </w:t>
      </w:r>
      <w:r>
        <w:rPr>
          <w:rFonts w:ascii="Times New Roman" w:hAnsi="Times New Roman" w:cs="Times New Roman"/>
          <w:sz w:val="24"/>
          <w:szCs w:val="24"/>
        </w:rPr>
        <w:br/>
      </w:r>
      <w:r w:rsidRPr="0006128C">
        <w:rPr>
          <w:rFonts w:ascii="Times New Roman" w:hAnsi="Times New Roman" w:cs="Times New Roman"/>
          <w:sz w:val="24"/>
          <w:szCs w:val="24"/>
        </w:rPr>
        <w:t>w pasie drogowym urządzeń infrastruktury technicznej, reklam lub innych nośników, wskazując, że są to odrębne należności wynikające z korzystania z pasa drogowego.</w:t>
      </w:r>
    </w:p>
    <w:p w14:paraId="3958061B" w14:textId="77777777" w:rsidR="0006128C" w:rsidRPr="0006128C" w:rsidRDefault="0006128C" w:rsidP="0006128C">
      <w:pPr>
        <w:pStyle w:val="Akapitzlist"/>
        <w:jc w:val="both"/>
        <w:rPr>
          <w:rFonts w:ascii="Times New Roman" w:hAnsi="Times New Roman" w:cs="Times New Roman"/>
          <w:sz w:val="24"/>
          <w:szCs w:val="24"/>
        </w:rPr>
      </w:pPr>
    </w:p>
    <w:p w14:paraId="00EEF9A7" w14:textId="77777777"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Następnie radna Monika </w:t>
      </w:r>
      <w:proofErr w:type="spellStart"/>
      <w:r w:rsidRPr="0006128C">
        <w:rPr>
          <w:rFonts w:ascii="Times New Roman" w:hAnsi="Times New Roman" w:cs="Times New Roman"/>
          <w:sz w:val="24"/>
          <w:szCs w:val="24"/>
        </w:rPr>
        <w:t>Nawrot</w:t>
      </w:r>
      <w:proofErr w:type="spellEnd"/>
      <w:r w:rsidRPr="0006128C">
        <w:rPr>
          <w:rFonts w:ascii="Times New Roman" w:hAnsi="Times New Roman" w:cs="Times New Roman"/>
          <w:sz w:val="24"/>
          <w:szCs w:val="24"/>
        </w:rPr>
        <w:t xml:space="preserve"> zwróciła uwagę na zaległości wykazane w dziale dotyczącym gospodarki gruntami i nieruchomościami, w szczególności w pozycjach odnoszących się do użytkowania wieczystego, dzierżawy oraz opłat z tytułu przekształcenia prawa użytkowania wieczystego w prawo własności. Zapytała, czy wskazane kwoty zaległości odnoszą się do pojedynczych nieruchomości, czy też do większej liczby przypadków. W odpowiedzi Skarbnik Miasta wyjaśnił, że są to zaległości dotyczące większej liczby podmiotów. Doprecyzowano, że w przypadku przekształceń chodzi przede wszystkim o konsekwencje przekształceń dokonanych od 2019 roku, kiedy osoby fizyczne, które dotychczas posiadały prawo użytkowania wieczystego, zostały zobowiązane do wnoszenia opłaty </w:t>
      </w:r>
      <w:proofErr w:type="spellStart"/>
      <w:r w:rsidRPr="0006128C">
        <w:rPr>
          <w:rFonts w:ascii="Times New Roman" w:hAnsi="Times New Roman" w:cs="Times New Roman"/>
          <w:sz w:val="24"/>
          <w:szCs w:val="24"/>
        </w:rPr>
        <w:t>przekształceniowej</w:t>
      </w:r>
      <w:proofErr w:type="spellEnd"/>
      <w:r w:rsidRPr="0006128C">
        <w:rPr>
          <w:rFonts w:ascii="Times New Roman" w:hAnsi="Times New Roman" w:cs="Times New Roman"/>
          <w:sz w:val="24"/>
          <w:szCs w:val="24"/>
        </w:rPr>
        <w:t>, najczęściej rozłożonej na 20 lat. Skarbnik Miasta zaznaczył, że skala tych zaległości nie jest bardzo duża i stanowi około 5–6% całości należności w tej pozycji. Kierownik Wydziału Podatków i Opłat wskazała jednocześnie, że w wielu przypadkach zaległości te dotyczą wciąż tych samych osób.</w:t>
      </w:r>
    </w:p>
    <w:p w14:paraId="6AEC25DA" w14:textId="77777777" w:rsidR="0006128C" w:rsidRPr="0006128C" w:rsidRDefault="0006128C" w:rsidP="0006128C">
      <w:pPr>
        <w:pStyle w:val="Akapitzlist"/>
        <w:jc w:val="both"/>
        <w:rPr>
          <w:rFonts w:ascii="Times New Roman" w:hAnsi="Times New Roman" w:cs="Times New Roman"/>
          <w:sz w:val="24"/>
          <w:szCs w:val="24"/>
        </w:rPr>
      </w:pPr>
    </w:p>
    <w:p w14:paraId="00750028" w14:textId="77777777"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W tym samym kontekście Skarbnik Miasta zwrócił uwagę, że znacznie poważniejszy problem zaległości występuje w rozdziale dotyczącym gospodarowania mieszkaniowym zasobem gminy, a więc w odniesieniu do wpływów z najmu lokali mieszkalnych administrowanych przez Biuro Majątku Komunalnego. Podkreślił, że jest to temat znany radnym i był już wcześniej przedmiotem odrębnych analiz komisji.</w:t>
      </w:r>
    </w:p>
    <w:p w14:paraId="2393A306" w14:textId="77777777" w:rsidR="0006128C" w:rsidRPr="0006128C" w:rsidRDefault="0006128C" w:rsidP="0006128C">
      <w:pPr>
        <w:pStyle w:val="Akapitzlist"/>
        <w:jc w:val="both"/>
        <w:rPr>
          <w:rFonts w:ascii="Times New Roman" w:hAnsi="Times New Roman" w:cs="Times New Roman"/>
          <w:sz w:val="24"/>
          <w:szCs w:val="24"/>
        </w:rPr>
      </w:pPr>
    </w:p>
    <w:p w14:paraId="71E1E243" w14:textId="0E03DC51"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Radna Monika </w:t>
      </w:r>
      <w:proofErr w:type="spellStart"/>
      <w:r w:rsidRPr="0006128C">
        <w:rPr>
          <w:rFonts w:ascii="Times New Roman" w:hAnsi="Times New Roman" w:cs="Times New Roman"/>
          <w:sz w:val="24"/>
          <w:szCs w:val="24"/>
        </w:rPr>
        <w:t>Nawrot</w:t>
      </w:r>
      <w:proofErr w:type="spellEnd"/>
      <w:r w:rsidRPr="0006128C">
        <w:rPr>
          <w:rFonts w:ascii="Times New Roman" w:hAnsi="Times New Roman" w:cs="Times New Roman"/>
          <w:sz w:val="24"/>
          <w:szCs w:val="24"/>
        </w:rPr>
        <w:t xml:space="preserve"> zaznaczyła, że interesują ją nie tylko wskaźniki procentowe, lecz także rzeczywista skala zjawiska wyrażona liczbą osób, lokali lub nieruchomości. </w:t>
      </w:r>
      <w:r>
        <w:rPr>
          <w:rFonts w:ascii="Times New Roman" w:hAnsi="Times New Roman" w:cs="Times New Roman"/>
          <w:sz w:val="24"/>
          <w:szCs w:val="24"/>
        </w:rPr>
        <w:br/>
      </w:r>
      <w:r w:rsidRPr="0006128C">
        <w:rPr>
          <w:rFonts w:ascii="Times New Roman" w:hAnsi="Times New Roman" w:cs="Times New Roman"/>
          <w:sz w:val="24"/>
          <w:szCs w:val="24"/>
        </w:rPr>
        <w:t xml:space="preserve">W związku z tym poprosiła o przygotowanie informacji pokazującej liczbę przypadków zaległości dotyczących opłat </w:t>
      </w:r>
      <w:proofErr w:type="spellStart"/>
      <w:r w:rsidRPr="0006128C">
        <w:rPr>
          <w:rFonts w:ascii="Times New Roman" w:hAnsi="Times New Roman" w:cs="Times New Roman"/>
          <w:sz w:val="24"/>
          <w:szCs w:val="24"/>
        </w:rPr>
        <w:t>przekształceniowych</w:t>
      </w:r>
      <w:proofErr w:type="spellEnd"/>
      <w:r w:rsidRPr="0006128C">
        <w:rPr>
          <w:rFonts w:ascii="Times New Roman" w:hAnsi="Times New Roman" w:cs="Times New Roman"/>
          <w:sz w:val="24"/>
          <w:szCs w:val="24"/>
        </w:rPr>
        <w:t xml:space="preserve">, najmu i dzierżawy oraz użytkowania wieczystego, odnosząc te dane do wskazanych wcześniej kwot. Zaznaczyła przy tym, że nie oczekuje odpowiedzi w trakcie posiedzenia, lecz prosi </w:t>
      </w:r>
      <w:r>
        <w:rPr>
          <w:rFonts w:ascii="Times New Roman" w:hAnsi="Times New Roman" w:cs="Times New Roman"/>
          <w:sz w:val="24"/>
          <w:szCs w:val="24"/>
        </w:rPr>
        <w:br/>
      </w:r>
      <w:r w:rsidRPr="0006128C">
        <w:rPr>
          <w:rFonts w:ascii="Times New Roman" w:hAnsi="Times New Roman" w:cs="Times New Roman"/>
          <w:sz w:val="24"/>
          <w:szCs w:val="24"/>
        </w:rPr>
        <w:t>o przygotowanie tych danych w późniejszym terminie.</w:t>
      </w:r>
    </w:p>
    <w:p w14:paraId="01B21BD1" w14:textId="77777777" w:rsidR="0006128C" w:rsidRPr="0006128C" w:rsidRDefault="0006128C" w:rsidP="0006128C">
      <w:pPr>
        <w:pStyle w:val="Akapitzlist"/>
        <w:jc w:val="both"/>
        <w:rPr>
          <w:rFonts w:ascii="Times New Roman" w:hAnsi="Times New Roman" w:cs="Times New Roman"/>
          <w:sz w:val="24"/>
          <w:szCs w:val="24"/>
        </w:rPr>
      </w:pPr>
    </w:p>
    <w:p w14:paraId="28E1D959" w14:textId="2183E88F"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Kolejne pytanie zadał radny Maciej Różański, odnosząc się do dochodów z opłaty </w:t>
      </w:r>
      <w:r>
        <w:rPr>
          <w:rFonts w:ascii="Times New Roman" w:hAnsi="Times New Roman" w:cs="Times New Roman"/>
          <w:sz w:val="24"/>
          <w:szCs w:val="24"/>
        </w:rPr>
        <w:br/>
      </w:r>
      <w:r w:rsidRPr="0006128C">
        <w:rPr>
          <w:rFonts w:ascii="Times New Roman" w:hAnsi="Times New Roman" w:cs="Times New Roman"/>
          <w:sz w:val="24"/>
          <w:szCs w:val="24"/>
        </w:rPr>
        <w:t xml:space="preserve">za gospodarowanie odpadami komunalnymi, których planowana wartość wynosi około 13,9 mln zł. Radny zauważył, że przy niezmienionej stawce i zmianie sposobu ustalania opłaty mieszkańcy sygnalizowali brak informacji o wysokości należności oraz terminach płatności. Zapytał, czy miasto nie mogłoby wcześniej, na przykład pod koniec grudnia lub na początku stycznia, przekazywać mieszkańcom stosownych zawiadomień, co mogłoby przyczynić się do szybszego wpływu części środków </w:t>
      </w:r>
      <w:r>
        <w:rPr>
          <w:rFonts w:ascii="Times New Roman" w:hAnsi="Times New Roman" w:cs="Times New Roman"/>
          <w:sz w:val="24"/>
          <w:szCs w:val="24"/>
        </w:rPr>
        <w:br/>
      </w:r>
      <w:r w:rsidRPr="0006128C">
        <w:rPr>
          <w:rFonts w:ascii="Times New Roman" w:hAnsi="Times New Roman" w:cs="Times New Roman"/>
          <w:sz w:val="24"/>
          <w:szCs w:val="24"/>
        </w:rPr>
        <w:t>do budżetu.</w:t>
      </w:r>
    </w:p>
    <w:p w14:paraId="7B5BFC8E" w14:textId="77777777" w:rsidR="0006128C" w:rsidRPr="0006128C" w:rsidRDefault="0006128C" w:rsidP="0006128C">
      <w:pPr>
        <w:pStyle w:val="Akapitzlist"/>
        <w:jc w:val="both"/>
        <w:rPr>
          <w:rFonts w:ascii="Times New Roman" w:hAnsi="Times New Roman" w:cs="Times New Roman"/>
          <w:sz w:val="24"/>
          <w:szCs w:val="24"/>
        </w:rPr>
      </w:pPr>
    </w:p>
    <w:p w14:paraId="12F4C089" w14:textId="5C7D6E5E"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W odpowiedzi Alicja Olejniczak wyjaśniła, że praktyka pokazuje, iż zdecydowana większość mieszkańców dokonuje wpłat dopiero w terminach zbliżonych do ustawowych, niezależnie od wcześniejszego doręczenia informacji. Dodała, że </w:t>
      </w:r>
      <w:r>
        <w:rPr>
          <w:rFonts w:ascii="Times New Roman" w:hAnsi="Times New Roman" w:cs="Times New Roman"/>
          <w:sz w:val="24"/>
          <w:szCs w:val="24"/>
        </w:rPr>
        <w:br/>
      </w:r>
      <w:r w:rsidRPr="0006128C">
        <w:rPr>
          <w:rFonts w:ascii="Times New Roman" w:hAnsi="Times New Roman" w:cs="Times New Roman"/>
          <w:sz w:val="24"/>
          <w:szCs w:val="24"/>
        </w:rPr>
        <w:t xml:space="preserve">z obserwacji wydziału wynika, iż wcześniejsze przekazanie informacji nie powoduje istotnego przyspieszenia wpływów. Skarbnik Miasta potwierdził, że nie ocenia tego potencjalnego efektu jako szczególnie znaczącego dla płynności budżetu, a pozostali uczestnicy dyskusji wskazywali, że część mieszkańców reguluje zobowiązania dopiero tuż przed terminem, planując wydatki w ramach bieżącego budżetu domowego. W toku rozmowy zaznaczono również, że nawet relatywnie niewielkie kwoty mogą dla części mieszkańców stanowić istotne obciążenie. Kierownik Wydziału Podatków i Opłat podała przykład opłat </w:t>
      </w:r>
      <w:proofErr w:type="spellStart"/>
      <w:r w:rsidRPr="0006128C">
        <w:rPr>
          <w:rFonts w:ascii="Times New Roman" w:hAnsi="Times New Roman" w:cs="Times New Roman"/>
          <w:sz w:val="24"/>
          <w:szCs w:val="24"/>
        </w:rPr>
        <w:t>przekształceniowych</w:t>
      </w:r>
      <w:proofErr w:type="spellEnd"/>
      <w:r w:rsidRPr="0006128C">
        <w:rPr>
          <w:rFonts w:ascii="Times New Roman" w:hAnsi="Times New Roman" w:cs="Times New Roman"/>
          <w:sz w:val="24"/>
          <w:szCs w:val="24"/>
        </w:rPr>
        <w:t xml:space="preserve"> rzędu kilkudziesięciu czy około stu złotych rocznie, które także bywają problematyczne dla części zobowiązanych.</w:t>
      </w:r>
    </w:p>
    <w:p w14:paraId="528AFF71" w14:textId="77777777" w:rsidR="0006128C" w:rsidRPr="0006128C" w:rsidRDefault="0006128C" w:rsidP="0006128C">
      <w:pPr>
        <w:pStyle w:val="Akapitzlist"/>
        <w:jc w:val="both"/>
        <w:rPr>
          <w:rFonts w:ascii="Times New Roman" w:hAnsi="Times New Roman" w:cs="Times New Roman"/>
          <w:sz w:val="24"/>
          <w:szCs w:val="24"/>
        </w:rPr>
      </w:pPr>
    </w:p>
    <w:p w14:paraId="39766A51" w14:textId="429C193D" w:rsidR="000612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W dalszej części radna Monika </w:t>
      </w:r>
      <w:proofErr w:type="spellStart"/>
      <w:r w:rsidRPr="0006128C">
        <w:rPr>
          <w:rFonts w:ascii="Times New Roman" w:hAnsi="Times New Roman" w:cs="Times New Roman"/>
          <w:sz w:val="24"/>
          <w:szCs w:val="24"/>
        </w:rPr>
        <w:t>Nawrot</w:t>
      </w:r>
      <w:proofErr w:type="spellEnd"/>
      <w:r w:rsidRPr="0006128C">
        <w:rPr>
          <w:rFonts w:ascii="Times New Roman" w:hAnsi="Times New Roman" w:cs="Times New Roman"/>
          <w:sz w:val="24"/>
          <w:szCs w:val="24"/>
        </w:rPr>
        <w:t xml:space="preserve"> poruszyła temat funkcjonowania e-doręczeń, pytając, czy w bieżącym roku ich stosowanie w większym zakresie sprawiało trudności. W odpowiedzi Alicja Olejniczak poinformowała, że urząd rozpoczął wysyłkę decyzji wymiarowych bardzo wcześnie, już od początku stycznia. Wskazała, że system był sukcesywnie wykorzystywany do doręczeń elektronicznych, jednak nie wszyscy podatnicy posiadali aktywne skrzynki lub byli przygotowani do korzystania z tego rozwiązania. Podała, że w ramach e-doręczeń zrealizowano około 1380 doręczeń, część korespondencji została wysłana przez </w:t>
      </w:r>
      <w:proofErr w:type="spellStart"/>
      <w:r w:rsidRPr="0006128C">
        <w:rPr>
          <w:rFonts w:ascii="Times New Roman" w:hAnsi="Times New Roman" w:cs="Times New Roman"/>
          <w:sz w:val="24"/>
          <w:szCs w:val="24"/>
        </w:rPr>
        <w:t>ePUAP</w:t>
      </w:r>
      <w:proofErr w:type="spellEnd"/>
      <w:r w:rsidRPr="0006128C">
        <w:rPr>
          <w:rFonts w:ascii="Times New Roman" w:hAnsi="Times New Roman" w:cs="Times New Roman"/>
          <w:sz w:val="24"/>
          <w:szCs w:val="24"/>
        </w:rPr>
        <w:t xml:space="preserve">, a blisko 3000 przesyłek skierowano </w:t>
      </w:r>
      <w:r>
        <w:rPr>
          <w:rFonts w:ascii="Times New Roman" w:hAnsi="Times New Roman" w:cs="Times New Roman"/>
          <w:sz w:val="24"/>
          <w:szCs w:val="24"/>
        </w:rPr>
        <w:br/>
      </w:r>
      <w:r w:rsidRPr="0006128C">
        <w:rPr>
          <w:rFonts w:ascii="Times New Roman" w:hAnsi="Times New Roman" w:cs="Times New Roman"/>
          <w:sz w:val="24"/>
          <w:szCs w:val="24"/>
        </w:rPr>
        <w:t xml:space="preserve">w trybie hybrydowym. Dodała, że w tym roku decyzje były kierowane również do współwłaścicieli nieruchomości, a na terenie Lubonia część zawiadomień była roznoszona przez pracowników urzędu. Zaznaczyła również, że urząd na bieżąco aktualizuje dane i stara się zachęcać mieszkańców do zakładania skrzynek do </w:t>
      </w:r>
      <w:r>
        <w:rPr>
          <w:rFonts w:ascii="Times New Roman" w:hAnsi="Times New Roman" w:cs="Times New Roman"/>
          <w:sz w:val="24"/>
          <w:szCs w:val="24"/>
        </w:rPr>
        <w:br/>
      </w:r>
      <w:r w:rsidRPr="0006128C">
        <w:rPr>
          <w:rFonts w:ascii="Times New Roman" w:hAnsi="Times New Roman" w:cs="Times New Roman"/>
          <w:sz w:val="24"/>
          <w:szCs w:val="24"/>
        </w:rPr>
        <w:t>e-doręczeń, choć w praktyce występuje problem wykluczenia cyfrowego oraz obaw części mieszkańców przed korzystaniem z tej formy komunikacji. Jednocześnie podkreśliła, że urząd dokłada starań, aby wykorzystywać wszystkie dostępne formy doręczeń w sposób prawidłowy i możliwie efektywny.</w:t>
      </w:r>
    </w:p>
    <w:p w14:paraId="0ED97E38" w14:textId="77777777" w:rsidR="0006128C" w:rsidRPr="0006128C" w:rsidRDefault="0006128C" w:rsidP="0006128C">
      <w:pPr>
        <w:pStyle w:val="Akapitzlist"/>
        <w:jc w:val="both"/>
        <w:rPr>
          <w:rFonts w:ascii="Times New Roman" w:hAnsi="Times New Roman" w:cs="Times New Roman"/>
          <w:sz w:val="24"/>
          <w:szCs w:val="24"/>
        </w:rPr>
      </w:pPr>
    </w:p>
    <w:p w14:paraId="025CF8D4" w14:textId="69B9C20A" w:rsidR="00B54E8C" w:rsidRPr="0006128C" w:rsidRDefault="0006128C" w:rsidP="0006128C">
      <w:pPr>
        <w:pStyle w:val="Akapitzlist"/>
        <w:jc w:val="both"/>
        <w:rPr>
          <w:rFonts w:ascii="Times New Roman" w:hAnsi="Times New Roman" w:cs="Times New Roman"/>
          <w:sz w:val="24"/>
          <w:szCs w:val="24"/>
        </w:rPr>
      </w:pPr>
      <w:r w:rsidRPr="0006128C">
        <w:rPr>
          <w:rFonts w:ascii="Times New Roman" w:hAnsi="Times New Roman" w:cs="Times New Roman"/>
          <w:sz w:val="24"/>
          <w:szCs w:val="24"/>
        </w:rPr>
        <w:t xml:space="preserve">Na zakończenie dyskusji Przewodnicząca Komisji zapytała, czy są jeszcze pytania </w:t>
      </w:r>
      <w:r>
        <w:rPr>
          <w:rFonts w:ascii="Times New Roman" w:hAnsi="Times New Roman" w:cs="Times New Roman"/>
          <w:sz w:val="24"/>
          <w:szCs w:val="24"/>
        </w:rPr>
        <w:br/>
      </w:r>
      <w:r w:rsidRPr="0006128C">
        <w:rPr>
          <w:rFonts w:ascii="Times New Roman" w:hAnsi="Times New Roman" w:cs="Times New Roman"/>
          <w:sz w:val="24"/>
          <w:szCs w:val="24"/>
        </w:rPr>
        <w:t xml:space="preserve">w tym zakresie. Wobec ich braku podziękowała za przedstawione informacje </w:t>
      </w:r>
      <w:r>
        <w:rPr>
          <w:rFonts w:ascii="Times New Roman" w:hAnsi="Times New Roman" w:cs="Times New Roman"/>
          <w:sz w:val="24"/>
          <w:szCs w:val="24"/>
        </w:rPr>
        <w:br/>
      </w:r>
      <w:r w:rsidRPr="0006128C">
        <w:rPr>
          <w:rFonts w:ascii="Times New Roman" w:hAnsi="Times New Roman" w:cs="Times New Roman"/>
          <w:sz w:val="24"/>
          <w:szCs w:val="24"/>
        </w:rPr>
        <w:t>i omówienie zagadnienia.</w:t>
      </w:r>
    </w:p>
    <w:p w14:paraId="28F858E0" w14:textId="77777777" w:rsidR="0006128C" w:rsidRPr="00AA7913" w:rsidRDefault="0006128C" w:rsidP="00AA7913">
      <w:pPr>
        <w:pStyle w:val="Akapitzlist"/>
        <w:rPr>
          <w:rFonts w:ascii="Times New Roman" w:hAnsi="Times New Roman" w:cs="Times New Roman"/>
          <w:b/>
          <w:bCs/>
          <w:sz w:val="24"/>
          <w:szCs w:val="24"/>
          <w:u w:val="single"/>
        </w:rPr>
      </w:pPr>
    </w:p>
    <w:p w14:paraId="1E3E79F4" w14:textId="77777777" w:rsidR="00B54E8C" w:rsidRDefault="00B54E8C" w:rsidP="00B54E8C">
      <w:pPr>
        <w:spacing w:line="276" w:lineRule="auto"/>
        <w:ind w:left="708"/>
        <w:jc w:val="both"/>
        <w:rPr>
          <w:rFonts w:ascii="Times New Roman" w:hAnsi="Times New Roman" w:cs="Times New Roman"/>
          <w:sz w:val="24"/>
          <w:szCs w:val="24"/>
        </w:rPr>
      </w:pPr>
    </w:p>
    <w:p w14:paraId="7E396D0A" w14:textId="77777777" w:rsidR="00472D2D" w:rsidRPr="00472D2D" w:rsidRDefault="00472D2D" w:rsidP="00B54E8C">
      <w:pPr>
        <w:pStyle w:val="Akapitzlist"/>
        <w:numPr>
          <w:ilvl w:val="0"/>
          <w:numId w:val="2"/>
        </w:numPr>
        <w:spacing w:line="276" w:lineRule="auto"/>
        <w:ind w:left="708"/>
        <w:jc w:val="both"/>
        <w:rPr>
          <w:rFonts w:ascii="Times New Roman" w:hAnsi="Times New Roman" w:cs="Times New Roman"/>
          <w:sz w:val="24"/>
          <w:szCs w:val="24"/>
        </w:rPr>
      </w:pPr>
      <w:r w:rsidRPr="00472D2D">
        <w:rPr>
          <w:rFonts w:ascii="Times New Roman" w:hAnsi="Times New Roman" w:cs="Times New Roman"/>
          <w:b/>
          <w:bCs/>
          <w:sz w:val="24"/>
          <w:szCs w:val="24"/>
          <w:u w:val="single"/>
        </w:rPr>
        <w:t>Opiniowanie projektu uchwały zmieniającej uchwałę w sprawie budżetu Miasta Luboń na 2026 rok</w:t>
      </w:r>
    </w:p>
    <w:p w14:paraId="4D078690" w14:textId="77777777" w:rsidR="00472D2D" w:rsidRDefault="00472D2D" w:rsidP="00472D2D">
      <w:pPr>
        <w:pStyle w:val="Akapitzlist"/>
        <w:spacing w:line="276" w:lineRule="auto"/>
        <w:ind w:left="708"/>
        <w:jc w:val="both"/>
        <w:rPr>
          <w:rFonts w:ascii="Times New Roman" w:hAnsi="Times New Roman" w:cs="Times New Roman"/>
          <w:sz w:val="24"/>
          <w:szCs w:val="24"/>
        </w:rPr>
      </w:pPr>
    </w:p>
    <w:p w14:paraId="4901FC3E" w14:textId="51B0BBD2"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Przewodnicząca Komisji Budżetu i Finansów Katarzyna </w:t>
      </w:r>
      <w:proofErr w:type="spellStart"/>
      <w:r w:rsidRPr="0006128C">
        <w:rPr>
          <w:rFonts w:ascii="Times New Roman" w:hAnsi="Times New Roman" w:cs="Times New Roman"/>
          <w:sz w:val="24"/>
          <w:szCs w:val="24"/>
        </w:rPr>
        <w:t>Ekwińska</w:t>
      </w:r>
      <w:proofErr w:type="spellEnd"/>
      <w:r w:rsidRPr="0006128C">
        <w:rPr>
          <w:rFonts w:ascii="Times New Roman" w:hAnsi="Times New Roman" w:cs="Times New Roman"/>
          <w:sz w:val="24"/>
          <w:szCs w:val="24"/>
        </w:rPr>
        <w:t xml:space="preserve"> poinformowała, </w:t>
      </w:r>
      <w:r>
        <w:rPr>
          <w:rFonts w:ascii="Times New Roman" w:hAnsi="Times New Roman" w:cs="Times New Roman"/>
          <w:sz w:val="24"/>
          <w:szCs w:val="24"/>
        </w:rPr>
        <w:br/>
      </w:r>
      <w:r w:rsidRPr="0006128C">
        <w:rPr>
          <w:rFonts w:ascii="Times New Roman" w:hAnsi="Times New Roman" w:cs="Times New Roman"/>
          <w:sz w:val="24"/>
          <w:szCs w:val="24"/>
        </w:rPr>
        <w:t>że kolejnym punktem porządku obrad jest opiniowanie projektów uchwał przewidzianych na najbliższą sesję Rady Miasta. Wskazała, że projekt uchwały w sprawie przyjęcia programu opieki nad zwierzętami bezdomnymi nie podlega opiniowaniu przez Komisję Budżetu i Finansów, gdyż skutki finansowe tego programu zostały już uprzednio uwzględnione i przegłosowane w grudniu</w:t>
      </w:r>
      <w:r>
        <w:rPr>
          <w:rFonts w:ascii="Times New Roman" w:hAnsi="Times New Roman" w:cs="Times New Roman"/>
          <w:sz w:val="24"/>
          <w:szCs w:val="24"/>
        </w:rPr>
        <w:t xml:space="preserve"> 2025</w:t>
      </w:r>
      <w:r w:rsidRPr="0006128C">
        <w:rPr>
          <w:rFonts w:ascii="Times New Roman" w:hAnsi="Times New Roman" w:cs="Times New Roman"/>
          <w:sz w:val="24"/>
          <w:szCs w:val="24"/>
        </w:rPr>
        <w:t>. Następnie otworzyła procedowanie nad projektem uchwały w sprawie zmiany uchwały budżetowej Miasta Luboń na rok 2026 i poprosiła Skarbnika Miasta o jego szczegółowe przedstawienie.</w:t>
      </w:r>
    </w:p>
    <w:p w14:paraId="6C36A1AD"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06E54ACF" w14:textId="575AE756"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Skarbnik Miasta Mirosław </w:t>
      </w:r>
      <w:proofErr w:type="spellStart"/>
      <w:r w:rsidRPr="0006128C">
        <w:rPr>
          <w:rFonts w:ascii="Times New Roman" w:hAnsi="Times New Roman" w:cs="Times New Roman"/>
          <w:sz w:val="24"/>
          <w:szCs w:val="24"/>
        </w:rPr>
        <w:t>Stromczyński</w:t>
      </w:r>
      <w:proofErr w:type="spellEnd"/>
      <w:r w:rsidRPr="0006128C">
        <w:rPr>
          <w:rFonts w:ascii="Times New Roman" w:hAnsi="Times New Roman" w:cs="Times New Roman"/>
          <w:sz w:val="24"/>
          <w:szCs w:val="24"/>
        </w:rPr>
        <w:t xml:space="preserve"> omówił projekt uchwały, rozpoczynając od zmian po stronie dochodów. Poinformował, że do budżetu wprowadzono dotacje pochodzące z różnych źródeł. W pierwszej kolejności wskazał środki z Rządowego Funduszu Rozwoju Dróg przeznaczone na realizację zadania pod nazwą „Budowa </w:t>
      </w:r>
      <w:r>
        <w:rPr>
          <w:rFonts w:ascii="Times New Roman" w:hAnsi="Times New Roman" w:cs="Times New Roman"/>
          <w:sz w:val="24"/>
          <w:szCs w:val="24"/>
        </w:rPr>
        <w:br/>
      </w:r>
      <w:r w:rsidRPr="0006128C">
        <w:rPr>
          <w:rFonts w:ascii="Times New Roman" w:hAnsi="Times New Roman" w:cs="Times New Roman"/>
          <w:sz w:val="24"/>
          <w:szCs w:val="24"/>
        </w:rPr>
        <w:t xml:space="preserve">ul. Parkowej w Luboniu”, zaplanowanego w dwóch częściach: drogowej w wysokości 1.733.024,80 zł oraz kanalizacyjnej w wysokości 700.295,85 zł. Dodał także, że budżet uzupełniono o środki z Funduszu Pomocy na realizację zadań związanych z </w:t>
      </w:r>
      <w:r>
        <w:rPr>
          <w:rFonts w:ascii="Times New Roman" w:hAnsi="Times New Roman" w:cs="Times New Roman"/>
          <w:sz w:val="24"/>
          <w:szCs w:val="24"/>
        </w:rPr>
        <w:t>n</w:t>
      </w:r>
      <w:r w:rsidRPr="0006128C">
        <w:rPr>
          <w:rFonts w:ascii="Times New Roman" w:hAnsi="Times New Roman" w:cs="Times New Roman"/>
          <w:sz w:val="24"/>
          <w:szCs w:val="24"/>
        </w:rPr>
        <w:t xml:space="preserve">adaniem numeru PESEL oraz zapewnieniem wykonania fotografii, a także o dotacje w dziale pomocy społecznej, przeznaczone na dofinansowanie wynagrodzeń pracowników realizujących zadania z zakresu pracy socjalnej. Ponadto wskazał, że w dziale gospodarka komunalna i ochrona środowiska wprowadzono środki z Wojewódzkiego Funduszu Ochrony Środowiska i Gospodarki Wodnej, w tym na zadanie „Zielona wizytówka urzędu” w kwocie 27.420,00 zł, na opracowanie projektu założeń planu zaopatrzenia w ciepło, energię elektryczną i paliwa gazowe w kwocie 12.000,00 zł oraz na zwalczanie inwazyjnej rośliny – </w:t>
      </w:r>
      <w:proofErr w:type="spellStart"/>
      <w:r w:rsidRPr="0006128C">
        <w:rPr>
          <w:rFonts w:ascii="Times New Roman" w:hAnsi="Times New Roman" w:cs="Times New Roman"/>
          <w:sz w:val="24"/>
          <w:szCs w:val="24"/>
        </w:rPr>
        <w:t>rdestowca</w:t>
      </w:r>
      <w:proofErr w:type="spellEnd"/>
      <w:r w:rsidRPr="0006128C">
        <w:rPr>
          <w:rFonts w:ascii="Times New Roman" w:hAnsi="Times New Roman" w:cs="Times New Roman"/>
          <w:sz w:val="24"/>
          <w:szCs w:val="24"/>
        </w:rPr>
        <w:t xml:space="preserve"> – w kwocie 12.168,00 zł. Wyjaśnił również, że dokonano korekty środków dotyczących zadania „</w:t>
      </w:r>
      <w:proofErr w:type="spellStart"/>
      <w:r w:rsidRPr="0006128C">
        <w:rPr>
          <w:rFonts w:ascii="Times New Roman" w:hAnsi="Times New Roman" w:cs="Times New Roman"/>
          <w:sz w:val="24"/>
          <w:szCs w:val="24"/>
        </w:rPr>
        <w:t>Cyberbezpieczny</w:t>
      </w:r>
      <w:proofErr w:type="spellEnd"/>
      <w:r w:rsidRPr="0006128C">
        <w:rPr>
          <w:rFonts w:ascii="Times New Roman" w:hAnsi="Times New Roman" w:cs="Times New Roman"/>
          <w:sz w:val="24"/>
          <w:szCs w:val="24"/>
        </w:rPr>
        <w:t xml:space="preserve"> Samorząd”, gdyż ostateczna wysokość pozyskanego dofinansowania okazała się niższa od założeń przyjmowanych na etapie przygotowywania projektu budżetu. Dodał też, </w:t>
      </w:r>
      <w:r>
        <w:rPr>
          <w:rFonts w:ascii="Times New Roman" w:hAnsi="Times New Roman" w:cs="Times New Roman"/>
          <w:sz w:val="24"/>
          <w:szCs w:val="24"/>
        </w:rPr>
        <w:br/>
      </w:r>
      <w:r w:rsidRPr="0006128C">
        <w:rPr>
          <w:rFonts w:ascii="Times New Roman" w:hAnsi="Times New Roman" w:cs="Times New Roman"/>
          <w:sz w:val="24"/>
          <w:szCs w:val="24"/>
        </w:rPr>
        <w:t>że w części dotyczącej sali koncertowej dokonano przesunięcia części środków unijnych z dochodów majątkowych na dochody bieżące. Łącznie po zmianach dochody budżetu na rok 2026 ustalono na poziomie 235.668.108,15 zł, w tym dochody bieżące w kwocie 223.992.529,76 zł oraz dochody majątkowe w kwocie 11.675.578,39 zł.</w:t>
      </w:r>
    </w:p>
    <w:p w14:paraId="25739C7A"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5F46AD6A" w14:textId="5122C225"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lastRenderedPageBreak/>
        <w:t xml:space="preserve">W dalszej części Skarbnik Miasta omówił zmiany po stronie wydatków. Wyjaśnił, </w:t>
      </w:r>
      <w:r>
        <w:rPr>
          <w:rFonts w:ascii="Times New Roman" w:hAnsi="Times New Roman" w:cs="Times New Roman"/>
          <w:sz w:val="24"/>
          <w:szCs w:val="24"/>
        </w:rPr>
        <w:br/>
      </w:r>
      <w:r w:rsidRPr="0006128C">
        <w:rPr>
          <w:rFonts w:ascii="Times New Roman" w:hAnsi="Times New Roman" w:cs="Times New Roman"/>
          <w:sz w:val="24"/>
          <w:szCs w:val="24"/>
        </w:rPr>
        <w:t xml:space="preserve">że wprowadzono środki odpowiadające otrzymanym dotacjom, a także dokonano przesunięć pomiędzy zadaniami. W szczególności wskazał, że w ramach działu transport i łączność utworzono nowe zadanie inwestycyjne „Budowa ul. Parkowej </w:t>
      </w:r>
      <w:r>
        <w:rPr>
          <w:rFonts w:ascii="Times New Roman" w:hAnsi="Times New Roman" w:cs="Times New Roman"/>
          <w:sz w:val="24"/>
          <w:szCs w:val="24"/>
        </w:rPr>
        <w:br/>
      </w:r>
      <w:r w:rsidRPr="0006128C">
        <w:rPr>
          <w:rFonts w:ascii="Times New Roman" w:hAnsi="Times New Roman" w:cs="Times New Roman"/>
          <w:sz w:val="24"/>
          <w:szCs w:val="24"/>
        </w:rPr>
        <w:t>w Luboniu” z planem na rok 2026 w wysokości 1.956.578,07 zł, przy jednoczesnym zmniejszeniu środków na zadaniu ogólnym „Budowa, przebudowa dróg, poprawa bezpieczeństwa oraz budowa chodników na terenie miasta Luboń” o 1.087.865,67 zł. Omówił także zwiększenie wydatków związanych z programem „</w:t>
      </w:r>
      <w:proofErr w:type="spellStart"/>
      <w:r w:rsidRPr="0006128C">
        <w:rPr>
          <w:rFonts w:ascii="Times New Roman" w:hAnsi="Times New Roman" w:cs="Times New Roman"/>
          <w:sz w:val="24"/>
          <w:szCs w:val="24"/>
        </w:rPr>
        <w:t>Cyberbezpieczny</w:t>
      </w:r>
      <w:proofErr w:type="spellEnd"/>
      <w:r w:rsidRPr="0006128C">
        <w:rPr>
          <w:rFonts w:ascii="Times New Roman" w:hAnsi="Times New Roman" w:cs="Times New Roman"/>
          <w:sz w:val="24"/>
          <w:szCs w:val="24"/>
        </w:rPr>
        <w:t xml:space="preserve"> Samorząd”, zadaniami z zakresu obrony narodowej i ochrony ludności, a także przesunięcia w dziale bezpieczeństwo publiczne i ochrona przeciwpożarowa. Poinformował, że zabezpieczono wkład własny na zakupy planowane w ramach spodziewanego dofinansowania z obszaru ochrony ludności i obrony cywilnej, obejmujące m.in. zakup i montaż agregatów prądotwórczych dla Ośrodka Kultury, Miejskiego Ośrodka Pomocy Społecznej oraz Szkoły Podstawowej nr 2, zakup aparatu ochrony dróg oddechowych dla Ochotniczej Straży Pożarnej, a także zakup magazynu energii dla budynku OSP. Wskazał ponadto, że zwiększono środki na zimowe oczyszczanie miasta o 350.000,00 zł, środki na doświetlenie przejść dla pieszych przy ul. Polnej, Nagietkowej i Żabikowskiej oraz na budowę oświetlenia, a także środki na realizację zadania związanego z gospodarowaniem wodami opadowymi jako elementem adaptacji do zmian klimatu. Dodał, że zwiększenia po stronie wydatków dotyczyły również odpisów na zakładowy fundusz świadczeń socjalnych w jednostkach oświatowych i w Biurze Majątku Komunalnego. Po zmianach plan wydatków budżetu ustalono na poziomie 257.900.212,76 zł, w tym wydatki bieżące w wysokości 207.314.826,17 zł oraz wydatki majątkowe w wysokości 50.585.386,59 zł. </w:t>
      </w:r>
      <w:r w:rsidRPr="00825777">
        <w:rPr>
          <w:rFonts w:ascii="Times New Roman" w:hAnsi="Times New Roman" w:cs="Times New Roman"/>
          <w:sz w:val="24"/>
          <w:szCs w:val="24"/>
        </w:rPr>
        <w:t>Skutkiem proponowanych zmian było zmniejszenie deficytu do poziomu 22.232.104,61 zł, przy planowanych przychodach budżetu w wysokości 28.111.993,14 zł.</w:t>
      </w:r>
    </w:p>
    <w:p w14:paraId="3577A515"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4A04EDD8" w14:textId="3D7EECC5"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Następnie Skarbnik Miasta zgłosił autopoprawki do projektu uchwały. Poinformował, że w związku z zawiadomieniami Wojewody Wielkopolskiego o przyznaniu dotacji celowych do budżetu należy wprowadzić środki w rozdziale 85295 na realizację zadania związanego z zapewnieniem oraz utrzymaniem systemu teleinformatycznego, realizowanego przez Miejski Ośrodek Pomocy Społecznej, a także środki w rozdziale 85504 w kwocie 14.360,40 zł stanowiące kontynuację dofinansowania wynagrodzeń pracowników jednostek wspierania rodziny i systemu pieczy zastępczej. Ponadto poinformował o konieczności zwiększenia planu wydatków o 50.000,00 zł w związku z zawartą ugodą dotyczącą kary umownej naliczonej wykonawcy budowy </w:t>
      </w:r>
      <w:r>
        <w:rPr>
          <w:rFonts w:ascii="Times New Roman" w:hAnsi="Times New Roman" w:cs="Times New Roman"/>
          <w:sz w:val="24"/>
          <w:szCs w:val="24"/>
        </w:rPr>
        <w:br/>
      </w:r>
      <w:r w:rsidRPr="0006128C">
        <w:rPr>
          <w:rFonts w:ascii="Times New Roman" w:hAnsi="Times New Roman" w:cs="Times New Roman"/>
          <w:sz w:val="24"/>
          <w:szCs w:val="24"/>
        </w:rPr>
        <w:t>ul. Żeromskiego, którą wykonawca skutecznie zakwestionował, co wymaga zwrotu potrąconej kwoty i jednoczesnego zwiększenia przychodów z tytułu wolnych środków.</w:t>
      </w:r>
    </w:p>
    <w:p w14:paraId="3A2561CB"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472578EB"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W toku dyskusji radny Konrad Dominiak zwrócił się z pytaniem dotyczącym wskazanej w autopoprawce kary umownej. Dopytywał, czy kara została naliczona za opóźnienie wykonawcy, a następnie zakwestionowana w toku postępowania sądowego, prosząc o wyjaśnienie przebiegu sprawy. W odpowiedzi Skarbnik Miasta wyjaśnił, że rzeczywiście doszło do postępowania sądowego, jednak ostatecznie strony zawarły </w:t>
      </w:r>
      <w:r w:rsidRPr="0006128C">
        <w:rPr>
          <w:rFonts w:ascii="Times New Roman" w:hAnsi="Times New Roman" w:cs="Times New Roman"/>
          <w:sz w:val="24"/>
          <w:szCs w:val="24"/>
        </w:rPr>
        <w:lastRenderedPageBreak/>
        <w:t>ugodę przed sądem. Burmistrz Miasta Małgorzata Machalska doprecyzowała, że celem ugody było ograniczenie ryzyka procesowego, ponieważ istniało realne ryzyko całkowitego przegrania sprawy przez Miasto. Wyjaśniła, że obie strony z czegoś zrezygnowały, a zawarta ugoda miała charakter kompromisowy.</w:t>
      </w:r>
    </w:p>
    <w:p w14:paraId="039CB6DA"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2E1F76C1"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Następnie radna Monika </w:t>
      </w:r>
      <w:proofErr w:type="spellStart"/>
      <w:r w:rsidRPr="0006128C">
        <w:rPr>
          <w:rFonts w:ascii="Times New Roman" w:hAnsi="Times New Roman" w:cs="Times New Roman"/>
          <w:sz w:val="24"/>
          <w:szCs w:val="24"/>
        </w:rPr>
        <w:t>Nawrot</w:t>
      </w:r>
      <w:proofErr w:type="spellEnd"/>
      <w:r w:rsidRPr="0006128C">
        <w:rPr>
          <w:rFonts w:ascii="Times New Roman" w:hAnsi="Times New Roman" w:cs="Times New Roman"/>
          <w:sz w:val="24"/>
          <w:szCs w:val="24"/>
        </w:rPr>
        <w:t xml:space="preserve"> zadała dwa pytania odnoszące się do tej samej sprawy. W pierwszej kolejności poprosiła o wskazanie wysokości pierwotnie naliczonej kary oraz kwoty wynikającej z ugody. Skarbnik Miasta odpowiedział, że kwota zwrotu wynosi 50.000,00 zł, natomiast wysokości pierwotnie naliczonej kary nie był w stanie wskazać w trakcie posiedzenia i zadeklarował jej sprawdzenie. W drugim pytaniu radna Monika </w:t>
      </w:r>
      <w:proofErr w:type="spellStart"/>
      <w:r w:rsidRPr="0006128C">
        <w:rPr>
          <w:rFonts w:ascii="Times New Roman" w:hAnsi="Times New Roman" w:cs="Times New Roman"/>
          <w:sz w:val="24"/>
          <w:szCs w:val="24"/>
        </w:rPr>
        <w:t>Nawrot</w:t>
      </w:r>
      <w:proofErr w:type="spellEnd"/>
      <w:r w:rsidRPr="0006128C">
        <w:rPr>
          <w:rFonts w:ascii="Times New Roman" w:hAnsi="Times New Roman" w:cs="Times New Roman"/>
          <w:sz w:val="24"/>
          <w:szCs w:val="24"/>
        </w:rPr>
        <w:t xml:space="preserve"> zwróciła się o podanie informacji, kto reprezentował Miasto jako pełnomocnik w tej sprawie. W odpowiedzi wskazano, że pełnomocnikiem był mecenas Dariusz Springer.</w:t>
      </w:r>
    </w:p>
    <w:p w14:paraId="081B8E60"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2431BE8F" w14:textId="7BD4E996"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Kolejne pytanie zadał radny Maciej Różański, odnosząc się do planowanego zakupu magazynu energii dla Ochotniczej Straży Pożarnej. Radny przypomniał, że temat ten był już sygnalizowany podczas wcześniejszego posiedzenia komisji i zwrócił uwagę, iż z technicznego punktu widzenia zasadność lokalizacji magazynu energii przy budynku OSP może budzić wątpliwości ekonomiczne. Wskazał, że obiekt ten posiada instalację fotowoltaiczną, jednak jego bieżące zapotrzebowanie na energię nie jest wysokie, wobec czego bardziej racjonalnym miejscem dla takiej inwestycji mógłby być obiekt </w:t>
      </w:r>
      <w:proofErr w:type="spellStart"/>
      <w:r w:rsidRPr="0006128C">
        <w:rPr>
          <w:rFonts w:ascii="Times New Roman" w:hAnsi="Times New Roman" w:cs="Times New Roman"/>
          <w:sz w:val="24"/>
          <w:szCs w:val="24"/>
        </w:rPr>
        <w:t>LOSiR</w:t>
      </w:r>
      <w:proofErr w:type="spellEnd"/>
      <w:r w:rsidRPr="0006128C">
        <w:rPr>
          <w:rFonts w:ascii="Times New Roman" w:hAnsi="Times New Roman" w:cs="Times New Roman"/>
          <w:sz w:val="24"/>
          <w:szCs w:val="24"/>
        </w:rPr>
        <w:t xml:space="preserve"> lub inna lokalizacja o większym zużyciu energii. Radny szczegółowo omówił mechanizm działania magazynów energii, wskazując, że przy odpowiednim modelu rozliczania mogłyby one służyć do bilansowania poboru energii i ograniczania kosztów, ale jednocześnie zaznaczył, iż rozwiązania tego rodzaju wciąż pozostają w Polsce nowością i wymagają bardzo przemyślan</w:t>
      </w:r>
      <w:r w:rsidR="00366C68">
        <w:rPr>
          <w:rFonts w:ascii="Times New Roman" w:hAnsi="Times New Roman" w:cs="Times New Roman"/>
          <w:sz w:val="24"/>
          <w:szCs w:val="24"/>
        </w:rPr>
        <w:t>ego podejścia do zagadnienia.</w:t>
      </w:r>
    </w:p>
    <w:p w14:paraId="23684AF1"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730FD4F7" w14:textId="592C5334" w:rsidR="0006128C" w:rsidRP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W odpowiedzi Burmistrz Miasta Małgorzata Machalska zaznaczyła, że nie uczestniczyła bezpośrednio w spotkaniach i ustaleniach technicznych dotyczących tego wniosku, dlatego nie chce wypowiadać się w sposób definitywny co do przyczyn wyboru tej lokalizacji. Wyjaśniła jednak, że wniosek dotyczący magazynu energii dla OSP został ujęty jako element listy rezerwowej i nie mieści się w podstawowej puli środków przypisanych Miastu Luboń w ramach programu związanego z ochroną ludności i obroną cywilną. </w:t>
      </w:r>
      <w:r w:rsidR="00366C68">
        <w:rPr>
          <w:rFonts w:ascii="Times New Roman" w:hAnsi="Times New Roman" w:cs="Times New Roman"/>
          <w:sz w:val="24"/>
          <w:szCs w:val="24"/>
        </w:rPr>
        <w:t>Pani Burmistrz dodała</w:t>
      </w:r>
      <w:r w:rsidRPr="0006128C">
        <w:rPr>
          <w:rFonts w:ascii="Times New Roman" w:hAnsi="Times New Roman" w:cs="Times New Roman"/>
          <w:sz w:val="24"/>
          <w:szCs w:val="24"/>
        </w:rPr>
        <w:t xml:space="preserve">, że w pierwszej kolejności Miasto zamierza przeznaczyć dostępne środki na zakup agregatów prądotwórczych, natomiast magazyny energii byłyby rozważane dopiero w dalszej kolejności, jeśli pojawi się możliwość skorzystania z dodatkowych środków. Jednocześnie wskazała, że przy wyborze lokalizacji mogły być brane pod uwagę nie tylko potrzeby samej jednostki OSP, ale również potrzeby miasta na wypadek sytuacji kryzysowych, w tym możliwość wykorzystania sąsiedztwa Szkoły Podstawowej nr 2 jako miejsca ewentualnej czasowej lokalizacji osób ewakuowanych. Burmistrz zadeklarowała, że dopyta właściwy wydział o szczegółowe uzasadnienie i przekaże radnym dodatkowe informacje. Z dokumentacji uchwały wynika, że w planie wydatków ujęto zadanie pn. „Zakup, dostawa i montaż magazynu energii o pojemności do 30 kWh (współpracujący z istniejącą instalacją </w:t>
      </w:r>
      <w:r w:rsidRPr="0006128C">
        <w:rPr>
          <w:rFonts w:ascii="Times New Roman" w:hAnsi="Times New Roman" w:cs="Times New Roman"/>
          <w:sz w:val="24"/>
          <w:szCs w:val="24"/>
        </w:rPr>
        <w:lastRenderedPageBreak/>
        <w:t xml:space="preserve">fotowoltaiczną o mocy ok. 30 </w:t>
      </w:r>
      <w:proofErr w:type="spellStart"/>
      <w:r w:rsidRPr="0006128C">
        <w:rPr>
          <w:rFonts w:ascii="Times New Roman" w:hAnsi="Times New Roman" w:cs="Times New Roman"/>
          <w:sz w:val="24"/>
          <w:szCs w:val="24"/>
        </w:rPr>
        <w:t>kWp</w:t>
      </w:r>
      <w:proofErr w:type="spellEnd"/>
      <w:r w:rsidRPr="0006128C">
        <w:rPr>
          <w:rFonts w:ascii="Times New Roman" w:hAnsi="Times New Roman" w:cs="Times New Roman"/>
          <w:sz w:val="24"/>
          <w:szCs w:val="24"/>
        </w:rPr>
        <w:t>) stanowiący doposażenie budynku Ochotniczej Straży Pożarnej w Luboniu”.</w:t>
      </w:r>
    </w:p>
    <w:p w14:paraId="416A0AA1" w14:textId="77777777" w:rsidR="0006128C" w:rsidRPr="0006128C" w:rsidRDefault="0006128C" w:rsidP="0006128C">
      <w:pPr>
        <w:pStyle w:val="Akapitzlist"/>
        <w:spacing w:line="276" w:lineRule="auto"/>
        <w:ind w:left="708"/>
        <w:jc w:val="both"/>
        <w:rPr>
          <w:rFonts w:ascii="Times New Roman" w:hAnsi="Times New Roman" w:cs="Times New Roman"/>
          <w:sz w:val="24"/>
          <w:szCs w:val="24"/>
        </w:rPr>
      </w:pPr>
    </w:p>
    <w:p w14:paraId="140EB4BE" w14:textId="1C26A8EB" w:rsidR="0006128C" w:rsidRDefault="0006128C" w:rsidP="0006128C">
      <w:pPr>
        <w:pStyle w:val="Akapitzlist"/>
        <w:spacing w:line="276" w:lineRule="auto"/>
        <w:ind w:left="708"/>
        <w:jc w:val="both"/>
        <w:rPr>
          <w:rFonts w:ascii="Times New Roman" w:hAnsi="Times New Roman" w:cs="Times New Roman"/>
          <w:sz w:val="24"/>
          <w:szCs w:val="24"/>
        </w:rPr>
      </w:pPr>
      <w:r w:rsidRPr="0006128C">
        <w:rPr>
          <w:rFonts w:ascii="Times New Roman" w:hAnsi="Times New Roman" w:cs="Times New Roman"/>
          <w:sz w:val="24"/>
          <w:szCs w:val="24"/>
        </w:rPr>
        <w:t xml:space="preserve">Po zakończeniu dyskusji Przewodnicząca Komisji Katarzyna </w:t>
      </w:r>
      <w:proofErr w:type="spellStart"/>
      <w:r w:rsidRPr="0006128C">
        <w:rPr>
          <w:rFonts w:ascii="Times New Roman" w:hAnsi="Times New Roman" w:cs="Times New Roman"/>
          <w:sz w:val="24"/>
          <w:szCs w:val="24"/>
        </w:rPr>
        <w:t>Ekwińska</w:t>
      </w:r>
      <w:proofErr w:type="spellEnd"/>
      <w:r w:rsidRPr="0006128C">
        <w:rPr>
          <w:rFonts w:ascii="Times New Roman" w:hAnsi="Times New Roman" w:cs="Times New Roman"/>
          <w:sz w:val="24"/>
          <w:szCs w:val="24"/>
        </w:rPr>
        <w:t xml:space="preserve"> zarządziła głosowanie nad projektem uchwały w sprawie zmiany uchwały budżetowej Miasta Luboń na rok 2026. W głosowaniu Komisja pozytywnie zaopiniowała projekt uchwały – 9 głosami „za”.</w:t>
      </w:r>
    </w:p>
    <w:p w14:paraId="1670CC76" w14:textId="77777777" w:rsidR="0006128C" w:rsidRDefault="0006128C" w:rsidP="0006128C">
      <w:pPr>
        <w:pStyle w:val="Akapitzlist"/>
        <w:spacing w:line="276" w:lineRule="auto"/>
        <w:ind w:left="708"/>
        <w:jc w:val="both"/>
        <w:rPr>
          <w:rFonts w:ascii="Times New Roman" w:hAnsi="Times New Roman" w:cs="Times New Roman"/>
          <w:sz w:val="24"/>
          <w:szCs w:val="24"/>
        </w:rPr>
      </w:pPr>
    </w:p>
    <w:p w14:paraId="3095568C" w14:textId="77777777" w:rsidR="00DA5FDC" w:rsidRPr="00E229D2" w:rsidRDefault="00DA5FDC" w:rsidP="00DA5FDC">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7E34049D" w14:textId="031DC51B" w:rsidR="00DA5FDC" w:rsidRDefault="0006128C" w:rsidP="00DA5FDC">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00DA5FDC" w:rsidRPr="00E229D2">
        <w:rPr>
          <w:rFonts w:ascii="Times New Roman" w:hAnsi="Times New Roman" w:cs="Times New Roman"/>
          <w:b/>
          <w:bCs/>
          <w:sz w:val="24"/>
          <w:szCs w:val="24"/>
        </w:rPr>
        <w:t xml:space="preserve"> osób było </w:t>
      </w:r>
      <w:r w:rsidR="00DA5FDC" w:rsidRPr="00E229D2">
        <w:rPr>
          <w:rStyle w:val="Pogrubienie"/>
          <w:rFonts w:ascii="Times New Roman" w:hAnsi="Times New Roman" w:cs="Times New Roman"/>
          <w:sz w:val="24"/>
          <w:szCs w:val="24"/>
        </w:rPr>
        <w:t>„za”</w:t>
      </w:r>
      <w:r w:rsidR="00DA5FDC" w:rsidRPr="00E229D2">
        <w:rPr>
          <w:rFonts w:ascii="Times New Roman" w:eastAsia="Times New Roman" w:hAnsi="Times New Roman" w:cs="Times New Roman"/>
          <w:sz w:val="24"/>
          <w:szCs w:val="24"/>
          <w:lang w:eastAsia="pl-PL"/>
        </w:rPr>
        <w:t xml:space="preserve"> (Konrad Dominiak, Katarzyna </w:t>
      </w:r>
      <w:proofErr w:type="spellStart"/>
      <w:r w:rsidR="00DA5FDC" w:rsidRPr="00E229D2">
        <w:rPr>
          <w:rFonts w:ascii="Times New Roman" w:eastAsia="Times New Roman" w:hAnsi="Times New Roman" w:cs="Times New Roman"/>
          <w:sz w:val="24"/>
          <w:szCs w:val="24"/>
          <w:lang w:eastAsia="pl-PL"/>
        </w:rPr>
        <w:t>Ekwińska</w:t>
      </w:r>
      <w:proofErr w:type="spellEnd"/>
      <w:r w:rsidR="00DA5FDC" w:rsidRPr="00E229D2">
        <w:rPr>
          <w:rFonts w:ascii="Times New Roman" w:eastAsia="Times New Roman" w:hAnsi="Times New Roman" w:cs="Times New Roman"/>
          <w:sz w:val="24"/>
          <w:szCs w:val="24"/>
          <w:lang w:eastAsia="pl-PL"/>
        </w:rPr>
        <w:t xml:space="preserve">, Teresa </w:t>
      </w:r>
      <w:proofErr w:type="spellStart"/>
      <w:r w:rsidR="00DA5FDC" w:rsidRPr="00E229D2">
        <w:rPr>
          <w:rFonts w:ascii="Times New Roman" w:eastAsia="Times New Roman" w:hAnsi="Times New Roman" w:cs="Times New Roman"/>
          <w:sz w:val="24"/>
          <w:szCs w:val="24"/>
          <w:lang w:eastAsia="pl-PL"/>
        </w:rPr>
        <w:t>Zygmanowska</w:t>
      </w:r>
      <w:proofErr w:type="spellEnd"/>
      <w:r w:rsidR="00DA5FDC">
        <w:rPr>
          <w:rFonts w:ascii="Times New Roman" w:eastAsia="Times New Roman" w:hAnsi="Times New Roman" w:cs="Times New Roman"/>
          <w:sz w:val="24"/>
          <w:szCs w:val="24"/>
          <w:lang w:eastAsia="pl-PL"/>
        </w:rPr>
        <w:t>,</w:t>
      </w:r>
      <w:r w:rsidR="00DA5FDC" w:rsidRPr="00E229D2">
        <w:rPr>
          <w:rFonts w:ascii="Times New Roman" w:eastAsia="Times New Roman" w:hAnsi="Times New Roman" w:cs="Times New Roman"/>
          <w:sz w:val="24"/>
          <w:szCs w:val="24"/>
          <w:lang w:eastAsia="pl-PL"/>
        </w:rPr>
        <w:t xml:space="preserve"> Hieronim </w:t>
      </w:r>
      <w:proofErr w:type="spellStart"/>
      <w:r w:rsidR="00DA5FDC" w:rsidRPr="00E229D2">
        <w:rPr>
          <w:rFonts w:ascii="Times New Roman" w:eastAsia="Times New Roman" w:hAnsi="Times New Roman" w:cs="Times New Roman"/>
          <w:sz w:val="24"/>
          <w:szCs w:val="24"/>
          <w:lang w:eastAsia="pl-PL"/>
        </w:rPr>
        <w:t>Gawelski</w:t>
      </w:r>
      <w:proofErr w:type="spellEnd"/>
      <w:r w:rsidR="00DA5FDC" w:rsidRPr="00E229D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r>
        <w:rPr>
          <w:rFonts w:ascii="Times New Roman" w:eastAsia="Times New Roman" w:hAnsi="Times New Roman" w:cs="Times New Roman"/>
          <w:sz w:val="24"/>
          <w:szCs w:val="24"/>
          <w:lang w:eastAsia="pl-PL"/>
        </w:rPr>
        <w:t xml:space="preserve">, </w:t>
      </w:r>
      <w:r w:rsidR="00DA5FDC" w:rsidRPr="00E229D2">
        <w:rPr>
          <w:rFonts w:ascii="Times New Roman" w:eastAsia="Times New Roman" w:hAnsi="Times New Roman" w:cs="Times New Roman"/>
          <w:sz w:val="24"/>
          <w:szCs w:val="24"/>
          <w:lang w:eastAsia="pl-PL"/>
        </w:rPr>
        <w:t xml:space="preserve">Jakub Przemysław </w:t>
      </w:r>
      <w:proofErr w:type="spellStart"/>
      <w:r w:rsidR="00DA5FDC" w:rsidRPr="00E229D2">
        <w:rPr>
          <w:rFonts w:ascii="Times New Roman" w:eastAsia="Times New Roman" w:hAnsi="Times New Roman" w:cs="Times New Roman"/>
          <w:sz w:val="24"/>
          <w:szCs w:val="24"/>
          <w:lang w:eastAsia="pl-PL"/>
        </w:rPr>
        <w:t>Jelinski</w:t>
      </w:r>
      <w:proofErr w:type="spellEnd"/>
      <w:r w:rsidR="00DA5FDC" w:rsidRPr="00E229D2">
        <w:rPr>
          <w:rFonts w:ascii="Times New Roman" w:eastAsia="Times New Roman" w:hAnsi="Times New Roman" w:cs="Times New Roman"/>
          <w:sz w:val="24"/>
          <w:szCs w:val="24"/>
          <w:lang w:eastAsia="pl-PL"/>
        </w:rPr>
        <w:t xml:space="preserve">, Maciej Różański, Elżbieta Zapłata- </w:t>
      </w:r>
      <w:proofErr w:type="spellStart"/>
      <w:r w:rsidR="00DA5FDC" w:rsidRPr="00E229D2">
        <w:rPr>
          <w:rFonts w:ascii="Times New Roman" w:eastAsia="Times New Roman" w:hAnsi="Times New Roman" w:cs="Times New Roman"/>
          <w:sz w:val="24"/>
          <w:szCs w:val="24"/>
          <w:lang w:eastAsia="pl-PL"/>
        </w:rPr>
        <w:t>Szwedziak</w:t>
      </w:r>
      <w:proofErr w:type="spellEnd"/>
      <w:r w:rsidR="00DA5FDC">
        <w:rPr>
          <w:rFonts w:ascii="Times New Roman" w:eastAsia="Times New Roman" w:hAnsi="Times New Roman" w:cs="Times New Roman"/>
          <w:sz w:val="24"/>
          <w:szCs w:val="24"/>
          <w:lang w:eastAsia="pl-PL"/>
        </w:rPr>
        <w:t>,</w:t>
      </w:r>
      <w:r w:rsidR="00DA5FDC" w:rsidRPr="00E229D2">
        <w:rPr>
          <w:rFonts w:ascii="Times New Roman" w:eastAsia="Times New Roman" w:hAnsi="Times New Roman" w:cs="Times New Roman"/>
          <w:sz w:val="24"/>
          <w:szCs w:val="24"/>
          <w:lang w:eastAsia="pl-PL"/>
        </w:rPr>
        <w:t xml:space="preserve"> Monika Izabela </w:t>
      </w:r>
      <w:proofErr w:type="spellStart"/>
      <w:r w:rsidR="00DA5FDC" w:rsidRPr="00E229D2">
        <w:rPr>
          <w:rFonts w:ascii="Times New Roman" w:eastAsia="Times New Roman" w:hAnsi="Times New Roman" w:cs="Times New Roman"/>
          <w:sz w:val="24"/>
          <w:szCs w:val="24"/>
          <w:lang w:eastAsia="pl-PL"/>
        </w:rPr>
        <w:t>Nawrot</w:t>
      </w:r>
      <w:proofErr w:type="spellEnd"/>
      <w:r w:rsidR="00DA5FDC" w:rsidRPr="00E229D2">
        <w:rPr>
          <w:rFonts w:ascii="Times New Roman" w:eastAsia="Times New Roman" w:hAnsi="Times New Roman" w:cs="Times New Roman"/>
          <w:sz w:val="24"/>
          <w:szCs w:val="24"/>
          <w:lang w:eastAsia="pl-PL"/>
        </w:rPr>
        <w:t xml:space="preserve">) </w:t>
      </w:r>
    </w:p>
    <w:p w14:paraId="5F6464D1" w14:textId="77777777" w:rsidR="00334057" w:rsidRDefault="00334057" w:rsidP="009C477C">
      <w:pPr>
        <w:spacing w:line="276" w:lineRule="auto"/>
        <w:jc w:val="both"/>
        <w:rPr>
          <w:rFonts w:ascii="Times New Roman" w:hAnsi="Times New Roman" w:cs="Times New Roman"/>
          <w:sz w:val="24"/>
          <w:szCs w:val="24"/>
        </w:rPr>
      </w:pPr>
    </w:p>
    <w:p w14:paraId="3886C154" w14:textId="0BE729CC" w:rsidR="000A48F7" w:rsidRPr="000A48F7" w:rsidRDefault="000A48F7" w:rsidP="009C477C">
      <w:pPr>
        <w:pStyle w:val="Akapitzlist"/>
        <w:numPr>
          <w:ilvl w:val="0"/>
          <w:numId w:val="2"/>
        </w:numPr>
        <w:spacing w:line="276" w:lineRule="auto"/>
        <w:jc w:val="both"/>
        <w:rPr>
          <w:rFonts w:ascii="Times New Roman" w:hAnsi="Times New Roman" w:cs="Times New Roman"/>
          <w:b/>
          <w:bCs/>
          <w:sz w:val="24"/>
          <w:szCs w:val="24"/>
          <w:u w:val="single"/>
        </w:rPr>
      </w:pPr>
      <w:r w:rsidRPr="000A48F7">
        <w:rPr>
          <w:rFonts w:ascii="Times New Roman" w:hAnsi="Times New Roman" w:cs="Times New Roman"/>
          <w:b/>
          <w:bCs/>
          <w:sz w:val="24"/>
          <w:szCs w:val="24"/>
          <w:u w:val="single"/>
        </w:rPr>
        <w:t>Opiniowanie projektu uchwały zmieniającej uchwałę w sprawie uchwalenia Wieloletniej Prognozy Finansowej Miasta Luboń na lata 2026–2045</w:t>
      </w:r>
    </w:p>
    <w:p w14:paraId="58B35302" w14:textId="77777777" w:rsidR="00334057" w:rsidRDefault="00334057" w:rsidP="000A48F7">
      <w:pPr>
        <w:spacing w:line="276" w:lineRule="auto"/>
        <w:ind w:left="708"/>
        <w:jc w:val="both"/>
        <w:rPr>
          <w:rFonts w:ascii="Times New Roman" w:hAnsi="Times New Roman" w:cs="Times New Roman"/>
          <w:sz w:val="24"/>
          <w:szCs w:val="24"/>
        </w:rPr>
      </w:pPr>
    </w:p>
    <w:p w14:paraId="16B22A33" w14:textId="0E68AA43" w:rsidR="00366C68" w:rsidRPr="00366C68" w:rsidRDefault="00366C68" w:rsidP="00366C68">
      <w:pPr>
        <w:spacing w:line="276" w:lineRule="auto"/>
        <w:ind w:left="708"/>
        <w:jc w:val="both"/>
        <w:rPr>
          <w:rFonts w:ascii="Times New Roman" w:hAnsi="Times New Roman" w:cs="Times New Roman"/>
          <w:sz w:val="24"/>
          <w:szCs w:val="24"/>
        </w:rPr>
      </w:pPr>
      <w:r w:rsidRPr="00366C68">
        <w:rPr>
          <w:rFonts w:ascii="Times New Roman" w:hAnsi="Times New Roman" w:cs="Times New Roman"/>
          <w:sz w:val="24"/>
          <w:szCs w:val="24"/>
        </w:rPr>
        <w:t xml:space="preserve">Skarbnik Miasta Mirosław </w:t>
      </w:r>
      <w:proofErr w:type="spellStart"/>
      <w:r w:rsidRPr="00366C68">
        <w:rPr>
          <w:rFonts w:ascii="Times New Roman" w:hAnsi="Times New Roman" w:cs="Times New Roman"/>
          <w:sz w:val="24"/>
          <w:szCs w:val="24"/>
        </w:rPr>
        <w:t>Stromczyński</w:t>
      </w:r>
      <w:proofErr w:type="spellEnd"/>
      <w:r w:rsidRPr="00366C68">
        <w:rPr>
          <w:rFonts w:ascii="Times New Roman" w:hAnsi="Times New Roman" w:cs="Times New Roman"/>
          <w:sz w:val="24"/>
          <w:szCs w:val="24"/>
        </w:rPr>
        <w:t xml:space="preserve"> wyjaśnił, że zmiany w Wieloletniej Prognozie Finansowej zostały ujęte w obu załącznikach do projektu uchwały. Wskazał, </w:t>
      </w:r>
      <w:r w:rsidR="00825777">
        <w:rPr>
          <w:rFonts w:ascii="Times New Roman" w:hAnsi="Times New Roman" w:cs="Times New Roman"/>
          <w:sz w:val="24"/>
          <w:szCs w:val="24"/>
        </w:rPr>
        <w:br/>
      </w:r>
      <w:r w:rsidRPr="00366C68">
        <w:rPr>
          <w:rFonts w:ascii="Times New Roman" w:hAnsi="Times New Roman" w:cs="Times New Roman"/>
          <w:sz w:val="24"/>
          <w:szCs w:val="24"/>
        </w:rPr>
        <w:t xml:space="preserve">że załącznik nr 1 został dostosowany do zmian wynikających z projektu uchwały budżetowej, natomiast załącznik nr 2 obejmuje korekty w zakresie przedsięwzięć wieloletnich, zarówno w części odnoszącej się do roku 2026, jak i – w wybranych przypadkach – w limitach wydatków przewidzianych na lata następne. W szczególności wskazał na ujęcie w przedsięwzięciach zadania „Budowa ul. Parkowej w Luboniu”, przewidzianego do realizacji również w roku </w:t>
      </w:r>
      <w:proofErr w:type="gramStart"/>
      <w:r w:rsidRPr="00366C68">
        <w:rPr>
          <w:rFonts w:ascii="Times New Roman" w:hAnsi="Times New Roman" w:cs="Times New Roman"/>
          <w:sz w:val="24"/>
          <w:szCs w:val="24"/>
        </w:rPr>
        <w:t>następnym,</w:t>
      </w:r>
      <w:proofErr w:type="gramEnd"/>
      <w:r w:rsidRPr="00366C68">
        <w:rPr>
          <w:rFonts w:ascii="Times New Roman" w:hAnsi="Times New Roman" w:cs="Times New Roman"/>
          <w:sz w:val="24"/>
          <w:szCs w:val="24"/>
        </w:rPr>
        <w:t xml:space="preserve"> oraz zadania dotyczącego rozwoju zrównoważonej mobilności miejskiej poprzez zakup autobusów elektrycznych wraz z infrastrukturą towarzyszącą, dla którego wprowadzono limit również na rok 2029. Z danych zawartych w projekcie WPF wynika, że po zmianach dochody budżetu na rok 2026 wynoszą 235.668.108,15 zł, wydatki 257.900.212,76 zł, planowany deficyt 22.232.104,61 zł, planowane przychody 28.111.993,14 zł, a rozchody 5.879.888,53 zł. Jednocześnie w prognozie zachowana została relacja z art. 243 ustawy o finansach publicznych. W załączniku dotyczącym przedsięwzięć wskazano m.in. zadanie „Budowa ul. Parkowej w Luboniu” z limitem wydatków na rok 2026 oraz zadanie „Rozwój zrównoważonej mobilności miejskiej Miasta Luboń poprzez zakup autobusów elektrycznych wraz z infrastrukturą towarzyszącą”, dla którego przewidziano limit wydatków na rok 2029.</w:t>
      </w:r>
    </w:p>
    <w:p w14:paraId="2A936570" w14:textId="77777777" w:rsidR="00366C68" w:rsidRPr="00366C68" w:rsidRDefault="00366C68" w:rsidP="00366C68">
      <w:pPr>
        <w:spacing w:line="276" w:lineRule="auto"/>
        <w:ind w:left="708"/>
        <w:jc w:val="both"/>
        <w:rPr>
          <w:rFonts w:ascii="Times New Roman" w:hAnsi="Times New Roman" w:cs="Times New Roman"/>
          <w:sz w:val="24"/>
          <w:szCs w:val="24"/>
        </w:rPr>
      </w:pPr>
      <w:r w:rsidRPr="00366C68">
        <w:rPr>
          <w:rFonts w:ascii="Times New Roman" w:hAnsi="Times New Roman" w:cs="Times New Roman"/>
          <w:sz w:val="24"/>
          <w:szCs w:val="24"/>
        </w:rPr>
        <w:t>Przewodnicząca Komisji otworzyła dyskusję nad projektem uchwały, jednak nie zgłoszono pytań ani uwag.</w:t>
      </w:r>
    </w:p>
    <w:p w14:paraId="212EA9FD" w14:textId="6ACC5D6F" w:rsidR="00366C68" w:rsidRDefault="00366C68" w:rsidP="00366C68">
      <w:pPr>
        <w:spacing w:line="276" w:lineRule="auto"/>
        <w:ind w:left="708"/>
        <w:jc w:val="both"/>
        <w:rPr>
          <w:rFonts w:ascii="Times New Roman" w:hAnsi="Times New Roman" w:cs="Times New Roman"/>
          <w:sz w:val="24"/>
          <w:szCs w:val="24"/>
        </w:rPr>
      </w:pPr>
      <w:r w:rsidRPr="00366C68">
        <w:rPr>
          <w:rFonts w:ascii="Times New Roman" w:hAnsi="Times New Roman" w:cs="Times New Roman"/>
          <w:sz w:val="24"/>
          <w:szCs w:val="24"/>
        </w:rPr>
        <w:lastRenderedPageBreak/>
        <w:t xml:space="preserve">Następnie Komisja przystąpiła do głosowania nad projektem uchwały w sprawie zmiany Wieloletniej Prognozy Finansowej Miasta Luboń na lata 2026–2045. </w:t>
      </w:r>
      <w:r w:rsidR="00177DB7">
        <w:rPr>
          <w:rFonts w:ascii="Times New Roman" w:hAnsi="Times New Roman" w:cs="Times New Roman"/>
          <w:sz w:val="24"/>
          <w:szCs w:val="24"/>
        </w:rPr>
        <w:br/>
      </w:r>
      <w:r w:rsidRPr="00366C68">
        <w:rPr>
          <w:rFonts w:ascii="Times New Roman" w:hAnsi="Times New Roman" w:cs="Times New Roman"/>
          <w:sz w:val="24"/>
          <w:szCs w:val="24"/>
        </w:rPr>
        <w:t>Komisja pozytywnie zaopiniowała projekt uchwały, przy czym 3 radnych wstrzymało się od głosu.</w:t>
      </w:r>
    </w:p>
    <w:p w14:paraId="70EC492B" w14:textId="77777777" w:rsidR="00DA5FDC" w:rsidRPr="000A48F7" w:rsidRDefault="00DA5FDC" w:rsidP="00DA5FDC">
      <w:pPr>
        <w:spacing w:line="276" w:lineRule="auto"/>
        <w:ind w:left="708"/>
        <w:jc w:val="both"/>
        <w:rPr>
          <w:rFonts w:ascii="Times New Roman" w:hAnsi="Times New Roman" w:cs="Times New Roman"/>
          <w:sz w:val="24"/>
          <w:szCs w:val="24"/>
        </w:rPr>
      </w:pPr>
      <w:r w:rsidRPr="000A48F7">
        <w:rPr>
          <w:rFonts w:ascii="Times New Roman" w:hAnsi="Times New Roman" w:cs="Times New Roman"/>
          <w:b/>
          <w:bCs/>
          <w:sz w:val="24"/>
          <w:szCs w:val="24"/>
        </w:rPr>
        <w:t>Wynik głosowania:</w:t>
      </w:r>
    </w:p>
    <w:p w14:paraId="33BFDF39" w14:textId="24534091" w:rsidR="00DA5FDC" w:rsidRPr="000A48F7" w:rsidRDefault="00366C68" w:rsidP="00DA5FDC">
      <w:pPr>
        <w:numPr>
          <w:ilvl w:val="0"/>
          <w:numId w:val="22"/>
        </w:numPr>
        <w:tabs>
          <w:tab w:val="num" w:pos="72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6</w:t>
      </w:r>
      <w:r w:rsidR="00DA5FDC" w:rsidRPr="00DA5FDC">
        <w:rPr>
          <w:rFonts w:ascii="Times New Roman" w:hAnsi="Times New Roman" w:cs="Times New Roman"/>
          <w:b/>
          <w:bCs/>
          <w:sz w:val="24"/>
          <w:szCs w:val="24"/>
        </w:rPr>
        <w:t xml:space="preserve"> osób było „za”:</w:t>
      </w:r>
      <w:r w:rsidR="00DA5FDC" w:rsidRPr="000A48F7">
        <w:rPr>
          <w:rFonts w:ascii="Times New Roman" w:hAnsi="Times New Roman" w:cs="Times New Roman"/>
          <w:sz w:val="24"/>
          <w:szCs w:val="24"/>
        </w:rPr>
        <w:t xml:space="preserve"> Konrad Dominiak, Katarzyna </w:t>
      </w:r>
      <w:proofErr w:type="spellStart"/>
      <w:r w:rsidR="00DA5FDC" w:rsidRPr="000A48F7">
        <w:rPr>
          <w:rFonts w:ascii="Times New Roman" w:hAnsi="Times New Roman" w:cs="Times New Roman"/>
          <w:sz w:val="24"/>
          <w:szCs w:val="24"/>
        </w:rPr>
        <w:t>Ekwińska</w:t>
      </w:r>
      <w:proofErr w:type="spellEnd"/>
      <w:r w:rsidR="00DA5FDC" w:rsidRPr="000A48F7">
        <w:rPr>
          <w:rFonts w:ascii="Times New Roman" w:hAnsi="Times New Roman" w:cs="Times New Roman"/>
          <w:sz w:val="24"/>
          <w:szCs w:val="24"/>
        </w:rPr>
        <w:t xml:space="preserve">, Karolina Monika Hieronim </w:t>
      </w:r>
      <w:proofErr w:type="spellStart"/>
      <w:r w:rsidR="00DA5FDC" w:rsidRPr="000A48F7">
        <w:rPr>
          <w:rFonts w:ascii="Times New Roman" w:hAnsi="Times New Roman" w:cs="Times New Roman"/>
          <w:sz w:val="24"/>
          <w:szCs w:val="24"/>
        </w:rPr>
        <w:t>Gawelski</w:t>
      </w:r>
      <w:proofErr w:type="spellEnd"/>
      <w:r w:rsidR="00DA5FDC" w:rsidRPr="000A48F7">
        <w:rPr>
          <w:rFonts w:ascii="Times New Roman" w:hAnsi="Times New Roman" w:cs="Times New Roman"/>
          <w:sz w:val="24"/>
          <w:szCs w:val="24"/>
        </w:rPr>
        <w:t xml:space="preserve">, Jakub Przemysław </w:t>
      </w:r>
      <w:proofErr w:type="spellStart"/>
      <w:r w:rsidR="00DA5FDC" w:rsidRPr="000A48F7">
        <w:rPr>
          <w:rFonts w:ascii="Times New Roman" w:hAnsi="Times New Roman" w:cs="Times New Roman"/>
          <w:sz w:val="24"/>
          <w:szCs w:val="24"/>
        </w:rPr>
        <w:t>Jeli</w:t>
      </w:r>
      <w:r w:rsidR="00DA5FDC">
        <w:rPr>
          <w:rFonts w:ascii="Times New Roman" w:hAnsi="Times New Roman" w:cs="Times New Roman"/>
          <w:sz w:val="24"/>
          <w:szCs w:val="24"/>
        </w:rPr>
        <w:t>n</w:t>
      </w:r>
      <w:r w:rsidR="00DA5FDC" w:rsidRPr="000A48F7">
        <w:rPr>
          <w:rFonts w:ascii="Times New Roman" w:hAnsi="Times New Roman" w:cs="Times New Roman"/>
          <w:sz w:val="24"/>
          <w:szCs w:val="24"/>
        </w:rPr>
        <w:t>ski</w:t>
      </w:r>
      <w:proofErr w:type="spellEnd"/>
      <w:r w:rsidR="00DA5FDC" w:rsidRPr="000A48F7">
        <w:rPr>
          <w:rFonts w:ascii="Times New Roman" w:hAnsi="Times New Roman" w:cs="Times New Roman"/>
          <w:sz w:val="24"/>
          <w:szCs w:val="24"/>
        </w:rPr>
        <w:t xml:space="preserve">, Teresa </w:t>
      </w:r>
      <w:proofErr w:type="spellStart"/>
      <w:r w:rsidR="00DA5FDC" w:rsidRPr="000A48F7">
        <w:rPr>
          <w:rFonts w:ascii="Times New Roman" w:hAnsi="Times New Roman" w:cs="Times New Roman"/>
          <w:sz w:val="24"/>
          <w:szCs w:val="24"/>
        </w:rPr>
        <w:t>Zygmanowska</w:t>
      </w:r>
      <w:proofErr w:type="spellEnd"/>
      <w:r w:rsidR="00DA5FDC" w:rsidRPr="000A48F7">
        <w:rPr>
          <w:rFonts w:ascii="Times New Roman" w:hAnsi="Times New Roman" w:cs="Times New Roman"/>
          <w:sz w:val="24"/>
          <w:szCs w:val="24"/>
        </w:rPr>
        <w:t>,</w:t>
      </w:r>
      <w:r w:rsidRPr="00366C6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p>
    <w:p w14:paraId="62E3570F" w14:textId="77777777" w:rsidR="00DA5FDC" w:rsidRPr="000A48F7" w:rsidRDefault="00DA5FDC" w:rsidP="00DA5FDC">
      <w:pPr>
        <w:numPr>
          <w:ilvl w:val="0"/>
          <w:numId w:val="22"/>
        </w:numPr>
        <w:tabs>
          <w:tab w:val="num" w:pos="720"/>
        </w:tabs>
        <w:spacing w:line="276" w:lineRule="auto"/>
        <w:jc w:val="both"/>
        <w:rPr>
          <w:rFonts w:ascii="Times New Roman" w:hAnsi="Times New Roman" w:cs="Times New Roman"/>
          <w:sz w:val="24"/>
          <w:szCs w:val="24"/>
        </w:rPr>
      </w:pPr>
      <w:r w:rsidRPr="00DA5FDC">
        <w:rPr>
          <w:rFonts w:ascii="Times New Roman" w:hAnsi="Times New Roman" w:cs="Times New Roman"/>
          <w:b/>
          <w:bCs/>
          <w:sz w:val="24"/>
          <w:szCs w:val="24"/>
        </w:rPr>
        <w:t>3 osoby wstrzymały się od głosu</w:t>
      </w:r>
      <w:r w:rsidRPr="000A48F7">
        <w:rPr>
          <w:rFonts w:ascii="Times New Roman" w:hAnsi="Times New Roman" w:cs="Times New Roman"/>
          <w:sz w:val="24"/>
          <w:szCs w:val="24"/>
        </w:rPr>
        <w:t>: Maciej Różański, Elżbieta Zapłata-</w:t>
      </w:r>
      <w:proofErr w:type="spellStart"/>
      <w:r w:rsidRPr="000A48F7">
        <w:rPr>
          <w:rFonts w:ascii="Times New Roman" w:hAnsi="Times New Roman" w:cs="Times New Roman"/>
          <w:sz w:val="24"/>
          <w:szCs w:val="24"/>
        </w:rPr>
        <w:t>Szwedziak</w:t>
      </w:r>
      <w:proofErr w:type="spellEnd"/>
      <w:r w:rsidRPr="000A48F7">
        <w:rPr>
          <w:rFonts w:ascii="Times New Roman" w:hAnsi="Times New Roman" w:cs="Times New Roman"/>
          <w:sz w:val="24"/>
          <w:szCs w:val="24"/>
        </w:rPr>
        <w:t xml:space="preserve">, Monika Izabela </w:t>
      </w:r>
      <w:proofErr w:type="spellStart"/>
      <w:r w:rsidRPr="000A48F7">
        <w:rPr>
          <w:rFonts w:ascii="Times New Roman" w:hAnsi="Times New Roman" w:cs="Times New Roman"/>
          <w:sz w:val="24"/>
          <w:szCs w:val="24"/>
        </w:rPr>
        <w:t>Nawrot</w:t>
      </w:r>
      <w:proofErr w:type="spellEnd"/>
      <w:r w:rsidRPr="000A48F7">
        <w:rPr>
          <w:rFonts w:ascii="Times New Roman" w:hAnsi="Times New Roman" w:cs="Times New Roman"/>
          <w:sz w:val="24"/>
          <w:szCs w:val="24"/>
        </w:rPr>
        <w:t>.</w:t>
      </w:r>
    </w:p>
    <w:p w14:paraId="3314B9EA" w14:textId="77777777" w:rsidR="006D58EB" w:rsidRPr="000A48F7" w:rsidRDefault="006D58EB" w:rsidP="000A48F7">
      <w:pPr>
        <w:spacing w:line="276" w:lineRule="auto"/>
        <w:ind w:left="708"/>
        <w:jc w:val="both"/>
        <w:rPr>
          <w:rFonts w:ascii="Times New Roman" w:hAnsi="Times New Roman" w:cs="Times New Roman"/>
          <w:sz w:val="24"/>
          <w:szCs w:val="24"/>
        </w:rPr>
      </w:pPr>
    </w:p>
    <w:p w14:paraId="0332074A" w14:textId="23AC8ED4" w:rsidR="006D58EB" w:rsidRDefault="006D58EB" w:rsidP="006D58EB">
      <w:pPr>
        <w:pStyle w:val="Akapitzlist"/>
        <w:numPr>
          <w:ilvl w:val="0"/>
          <w:numId w:val="2"/>
        </w:numPr>
        <w:spacing w:line="276" w:lineRule="auto"/>
        <w:jc w:val="both"/>
        <w:rPr>
          <w:rFonts w:ascii="Times New Roman" w:hAnsi="Times New Roman" w:cs="Times New Roman"/>
          <w:b/>
          <w:bCs/>
          <w:sz w:val="24"/>
          <w:szCs w:val="24"/>
          <w:u w:val="single"/>
        </w:rPr>
      </w:pPr>
      <w:r w:rsidRPr="006D58EB">
        <w:rPr>
          <w:rFonts w:ascii="Times New Roman" w:hAnsi="Times New Roman" w:cs="Times New Roman"/>
          <w:b/>
          <w:bCs/>
          <w:sz w:val="24"/>
          <w:szCs w:val="24"/>
          <w:u w:val="single"/>
        </w:rPr>
        <w:t>Przyjęcie Protokołu nr 2</w:t>
      </w:r>
      <w:r w:rsidR="00177DB7">
        <w:rPr>
          <w:rFonts w:ascii="Times New Roman" w:hAnsi="Times New Roman" w:cs="Times New Roman"/>
          <w:b/>
          <w:bCs/>
          <w:sz w:val="24"/>
          <w:szCs w:val="24"/>
          <w:u w:val="single"/>
        </w:rPr>
        <w:t>3</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z dnia </w:t>
      </w:r>
      <w:r w:rsidR="00177DB7">
        <w:rPr>
          <w:rFonts w:ascii="Times New Roman" w:hAnsi="Times New Roman" w:cs="Times New Roman"/>
          <w:b/>
          <w:bCs/>
          <w:sz w:val="24"/>
          <w:szCs w:val="24"/>
          <w:u w:val="single"/>
        </w:rPr>
        <w:t xml:space="preserve">11 lutego </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r.</w:t>
      </w:r>
    </w:p>
    <w:p w14:paraId="46D62917" w14:textId="314E55F6" w:rsidR="006D58EB" w:rsidRPr="006D58EB" w:rsidRDefault="006D58EB" w:rsidP="006D58EB">
      <w:pPr>
        <w:pStyle w:val="Akapitzlist"/>
        <w:spacing w:line="276" w:lineRule="auto"/>
        <w:jc w:val="both"/>
        <w:rPr>
          <w:rFonts w:ascii="Times New Roman" w:hAnsi="Times New Roman" w:cs="Times New Roman"/>
          <w:b/>
          <w:bCs/>
          <w:sz w:val="24"/>
          <w:szCs w:val="24"/>
          <w:u w:val="single"/>
        </w:rPr>
      </w:pPr>
    </w:p>
    <w:p w14:paraId="1DFA65F1" w14:textId="2FD1E87E" w:rsidR="006D58EB" w:rsidRPr="006D58EB" w:rsidRDefault="006D58EB" w:rsidP="006D58EB">
      <w:pPr>
        <w:pStyle w:val="Akapitzlist"/>
        <w:spacing w:line="276" w:lineRule="auto"/>
        <w:jc w:val="both"/>
        <w:rPr>
          <w:rFonts w:ascii="Times New Roman" w:hAnsi="Times New Roman" w:cs="Times New Roman"/>
          <w:sz w:val="24"/>
          <w:szCs w:val="24"/>
        </w:rPr>
      </w:pPr>
      <w:r w:rsidRPr="006D58EB">
        <w:rPr>
          <w:rFonts w:ascii="Times New Roman" w:hAnsi="Times New Roman" w:cs="Times New Roman"/>
          <w:sz w:val="24"/>
          <w:szCs w:val="24"/>
        </w:rPr>
        <w:t xml:space="preserve">Kolejnym punktem porządku obrad było głosowanie nad przyjęciem Protokołu </w:t>
      </w:r>
      <w:r>
        <w:rPr>
          <w:rFonts w:ascii="Times New Roman" w:hAnsi="Times New Roman" w:cs="Times New Roman"/>
          <w:sz w:val="24"/>
          <w:szCs w:val="24"/>
        </w:rPr>
        <w:br/>
      </w:r>
      <w:r w:rsidRPr="006D58EB">
        <w:rPr>
          <w:rFonts w:ascii="Times New Roman" w:hAnsi="Times New Roman" w:cs="Times New Roman"/>
          <w:sz w:val="24"/>
          <w:szCs w:val="24"/>
        </w:rPr>
        <w:t>nr 2</w:t>
      </w:r>
      <w:r w:rsidR="00177DB7">
        <w:rPr>
          <w:rFonts w:ascii="Times New Roman" w:hAnsi="Times New Roman" w:cs="Times New Roman"/>
          <w:sz w:val="24"/>
          <w:szCs w:val="24"/>
        </w:rPr>
        <w:t>3</w:t>
      </w:r>
      <w:r w:rsidRPr="006D58EB">
        <w:rPr>
          <w:rFonts w:ascii="Times New Roman" w:hAnsi="Times New Roman" w:cs="Times New Roman"/>
          <w:sz w:val="24"/>
          <w:szCs w:val="24"/>
        </w:rPr>
        <w:t>/202</w:t>
      </w:r>
      <w:r w:rsidR="00DA5FDC">
        <w:rPr>
          <w:rFonts w:ascii="Times New Roman" w:hAnsi="Times New Roman" w:cs="Times New Roman"/>
          <w:sz w:val="24"/>
          <w:szCs w:val="24"/>
        </w:rPr>
        <w:t>6</w:t>
      </w:r>
      <w:r w:rsidRPr="006D58EB">
        <w:rPr>
          <w:rFonts w:ascii="Times New Roman" w:hAnsi="Times New Roman" w:cs="Times New Roman"/>
          <w:sz w:val="24"/>
          <w:szCs w:val="24"/>
        </w:rPr>
        <w:t xml:space="preserve"> z posiedzenia Komisji Budżetu i Finansów z dnia </w:t>
      </w:r>
      <w:r w:rsidR="00177DB7">
        <w:rPr>
          <w:rFonts w:ascii="Times New Roman" w:hAnsi="Times New Roman" w:cs="Times New Roman"/>
          <w:sz w:val="24"/>
          <w:szCs w:val="24"/>
        </w:rPr>
        <w:t xml:space="preserve">11 lutego </w:t>
      </w:r>
      <w:r w:rsidRPr="006D58EB">
        <w:rPr>
          <w:rFonts w:ascii="Times New Roman" w:hAnsi="Times New Roman" w:cs="Times New Roman"/>
          <w:sz w:val="24"/>
          <w:szCs w:val="24"/>
        </w:rPr>
        <w:t>202</w:t>
      </w:r>
      <w:r w:rsidR="00DA5FDC">
        <w:rPr>
          <w:rFonts w:ascii="Times New Roman" w:hAnsi="Times New Roman" w:cs="Times New Roman"/>
          <w:sz w:val="24"/>
          <w:szCs w:val="24"/>
        </w:rPr>
        <w:t>6</w:t>
      </w:r>
      <w:r w:rsidRPr="006D58EB">
        <w:rPr>
          <w:rFonts w:ascii="Times New Roman" w:hAnsi="Times New Roman" w:cs="Times New Roman"/>
          <w:sz w:val="24"/>
          <w:szCs w:val="24"/>
        </w:rPr>
        <w:t xml:space="preserve"> r.</w:t>
      </w:r>
    </w:p>
    <w:p w14:paraId="2A258181" w14:textId="70FAF855"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Przewodnicząc</w:t>
      </w:r>
      <w:r>
        <w:rPr>
          <w:rFonts w:ascii="Times New Roman" w:hAnsi="Times New Roman" w:cs="Times New Roman"/>
          <w:sz w:val="24"/>
          <w:szCs w:val="24"/>
        </w:rPr>
        <w:t>a</w:t>
      </w:r>
      <w:r w:rsidRPr="006D58EB">
        <w:rPr>
          <w:rFonts w:ascii="Times New Roman" w:hAnsi="Times New Roman" w:cs="Times New Roman"/>
          <w:sz w:val="24"/>
          <w:szCs w:val="24"/>
        </w:rPr>
        <w:t xml:space="preserve"> Komisji poinformował</w:t>
      </w:r>
      <w:r>
        <w:rPr>
          <w:rFonts w:ascii="Times New Roman" w:hAnsi="Times New Roman" w:cs="Times New Roman"/>
          <w:sz w:val="24"/>
          <w:szCs w:val="24"/>
        </w:rPr>
        <w:t>a</w:t>
      </w:r>
      <w:r w:rsidRPr="006D58EB">
        <w:rPr>
          <w:rFonts w:ascii="Times New Roman" w:hAnsi="Times New Roman" w:cs="Times New Roman"/>
          <w:sz w:val="24"/>
          <w:szCs w:val="24"/>
        </w:rPr>
        <w:t xml:space="preserve">, że protokół został </w:t>
      </w:r>
      <w:r>
        <w:rPr>
          <w:rFonts w:ascii="Times New Roman" w:hAnsi="Times New Roman" w:cs="Times New Roman"/>
          <w:sz w:val="24"/>
          <w:szCs w:val="24"/>
        </w:rPr>
        <w:t xml:space="preserve">wcześniej </w:t>
      </w:r>
      <w:r w:rsidRPr="006D58EB">
        <w:rPr>
          <w:rFonts w:ascii="Times New Roman" w:hAnsi="Times New Roman" w:cs="Times New Roman"/>
          <w:sz w:val="24"/>
          <w:szCs w:val="24"/>
        </w:rPr>
        <w:t xml:space="preserve">przesłany radnym </w:t>
      </w:r>
      <w:r>
        <w:rPr>
          <w:rFonts w:ascii="Times New Roman" w:hAnsi="Times New Roman" w:cs="Times New Roman"/>
          <w:sz w:val="24"/>
          <w:szCs w:val="24"/>
        </w:rPr>
        <w:t>na skrzynkę elektroniczną</w:t>
      </w:r>
      <w:r w:rsidRPr="006D58EB">
        <w:rPr>
          <w:rFonts w:ascii="Times New Roman" w:hAnsi="Times New Roman" w:cs="Times New Roman"/>
          <w:sz w:val="24"/>
          <w:szCs w:val="24"/>
        </w:rPr>
        <w:t>, a następnie zarządził</w:t>
      </w:r>
      <w:r>
        <w:rPr>
          <w:rFonts w:ascii="Times New Roman" w:hAnsi="Times New Roman" w:cs="Times New Roman"/>
          <w:sz w:val="24"/>
          <w:szCs w:val="24"/>
        </w:rPr>
        <w:t>a</w:t>
      </w:r>
      <w:r w:rsidRPr="006D58EB">
        <w:rPr>
          <w:rFonts w:ascii="Times New Roman" w:hAnsi="Times New Roman" w:cs="Times New Roman"/>
          <w:sz w:val="24"/>
          <w:szCs w:val="24"/>
        </w:rPr>
        <w:t xml:space="preserve"> głosowanie nad jego przyjęciem.</w:t>
      </w:r>
    </w:p>
    <w:p w14:paraId="29C5A5A7" w14:textId="77777777" w:rsidR="009A0C1D" w:rsidRPr="00E229D2" w:rsidRDefault="009A0C1D" w:rsidP="009A0C1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1E70D22F" w14:textId="085051E6" w:rsidR="009A0C1D" w:rsidRDefault="00177DB7"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009A0C1D" w:rsidRPr="00E229D2">
        <w:rPr>
          <w:rFonts w:ascii="Times New Roman" w:hAnsi="Times New Roman" w:cs="Times New Roman"/>
          <w:b/>
          <w:bCs/>
          <w:sz w:val="24"/>
          <w:szCs w:val="24"/>
        </w:rPr>
        <w:t xml:space="preserve"> osób było </w:t>
      </w:r>
      <w:r w:rsidR="009A0C1D" w:rsidRPr="00E229D2">
        <w:rPr>
          <w:rStyle w:val="Pogrubienie"/>
          <w:rFonts w:ascii="Times New Roman" w:hAnsi="Times New Roman" w:cs="Times New Roman"/>
          <w:sz w:val="24"/>
          <w:szCs w:val="24"/>
        </w:rPr>
        <w:t>„za”</w:t>
      </w:r>
      <w:r w:rsidR="009A0C1D" w:rsidRPr="00E229D2">
        <w:rPr>
          <w:rFonts w:ascii="Times New Roman" w:eastAsia="Times New Roman" w:hAnsi="Times New Roman" w:cs="Times New Roman"/>
          <w:sz w:val="24"/>
          <w:szCs w:val="24"/>
          <w:lang w:eastAsia="pl-PL"/>
        </w:rPr>
        <w:t xml:space="preserve"> (Konrad Dominiak, Katarzyna </w:t>
      </w:r>
      <w:proofErr w:type="spellStart"/>
      <w:r w:rsidR="009A0C1D" w:rsidRPr="00E229D2">
        <w:rPr>
          <w:rFonts w:ascii="Times New Roman" w:eastAsia="Times New Roman" w:hAnsi="Times New Roman" w:cs="Times New Roman"/>
          <w:sz w:val="24"/>
          <w:szCs w:val="24"/>
          <w:lang w:eastAsia="pl-PL"/>
        </w:rPr>
        <w:t>Ekwińska</w:t>
      </w:r>
      <w:proofErr w:type="spellEnd"/>
      <w:r w:rsidR="009A0C1D" w:rsidRPr="00E229D2">
        <w:rPr>
          <w:rFonts w:ascii="Times New Roman" w:eastAsia="Times New Roman" w:hAnsi="Times New Roman" w:cs="Times New Roman"/>
          <w:sz w:val="24"/>
          <w:szCs w:val="24"/>
          <w:lang w:eastAsia="pl-PL"/>
        </w:rPr>
        <w:t xml:space="preserve">, Teresa </w:t>
      </w:r>
      <w:proofErr w:type="spellStart"/>
      <w:r w:rsidR="009A0C1D" w:rsidRPr="00E229D2">
        <w:rPr>
          <w:rFonts w:ascii="Times New Roman" w:eastAsia="Times New Roman" w:hAnsi="Times New Roman" w:cs="Times New Roman"/>
          <w:sz w:val="24"/>
          <w:szCs w:val="24"/>
          <w:lang w:eastAsia="pl-PL"/>
        </w:rPr>
        <w:t>Zygmanowska</w:t>
      </w:r>
      <w:proofErr w:type="spellEnd"/>
      <w:r w:rsidR="009A0C1D">
        <w:rPr>
          <w:rFonts w:ascii="Times New Roman" w:eastAsia="Times New Roman" w:hAnsi="Times New Roman" w:cs="Times New Roman"/>
          <w:sz w:val="24"/>
          <w:szCs w:val="24"/>
          <w:lang w:eastAsia="pl-PL"/>
        </w:rPr>
        <w:t>,</w:t>
      </w:r>
      <w:r w:rsidR="009A0C1D" w:rsidRPr="00E229D2">
        <w:rPr>
          <w:rFonts w:ascii="Times New Roman" w:eastAsia="Times New Roman" w:hAnsi="Times New Roman" w:cs="Times New Roman"/>
          <w:sz w:val="24"/>
          <w:szCs w:val="24"/>
          <w:lang w:eastAsia="pl-PL"/>
        </w:rPr>
        <w:t xml:space="preserve"> Hieronim </w:t>
      </w:r>
      <w:proofErr w:type="spellStart"/>
      <w:r w:rsidR="009A0C1D" w:rsidRPr="00E229D2">
        <w:rPr>
          <w:rFonts w:ascii="Times New Roman" w:eastAsia="Times New Roman" w:hAnsi="Times New Roman" w:cs="Times New Roman"/>
          <w:sz w:val="24"/>
          <w:szCs w:val="24"/>
          <w:lang w:eastAsia="pl-PL"/>
        </w:rPr>
        <w:t>Gawelski</w:t>
      </w:r>
      <w:proofErr w:type="spellEnd"/>
      <w:r w:rsidR="009A0C1D" w:rsidRPr="00E229D2">
        <w:rPr>
          <w:rFonts w:ascii="Times New Roman" w:eastAsia="Times New Roman" w:hAnsi="Times New Roman" w:cs="Times New Roman"/>
          <w:sz w:val="24"/>
          <w:szCs w:val="24"/>
          <w:lang w:eastAsia="pl-PL"/>
        </w:rPr>
        <w:t xml:space="preserve">, Jakub Przemysław </w:t>
      </w:r>
      <w:proofErr w:type="spellStart"/>
      <w:r w:rsidR="009A0C1D" w:rsidRPr="00E229D2">
        <w:rPr>
          <w:rFonts w:ascii="Times New Roman" w:eastAsia="Times New Roman" w:hAnsi="Times New Roman" w:cs="Times New Roman"/>
          <w:sz w:val="24"/>
          <w:szCs w:val="24"/>
          <w:lang w:eastAsia="pl-PL"/>
        </w:rPr>
        <w:t>Jelinski</w:t>
      </w:r>
      <w:proofErr w:type="spellEnd"/>
      <w:r w:rsidR="009A0C1D" w:rsidRPr="00E229D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w:t>
      </w:r>
      <w:r w:rsidR="009A0C1D" w:rsidRPr="00E229D2">
        <w:rPr>
          <w:rFonts w:ascii="Times New Roman" w:eastAsia="Times New Roman" w:hAnsi="Times New Roman" w:cs="Times New Roman"/>
          <w:sz w:val="24"/>
          <w:szCs w:val="24"/>
          <w:lang w:eastAsia="pl-PL"/>
        </w:rPr>
        <w:t xml:space="preserve">Maciej Różański, Elżbieta Zapłata- </w:t>
      </w:r>
      <w:proofErr w:type="spellStart"/>
      <w:r w:rsidR="009A0C1D" w:rsidRPr="00E229D2">
        <w:rPr>
          <w:rFonts w:ascii="Times New Roman" w:eastAsia="Times New Roman" w:hAnsi="Times New Roman" w:cs="Times New Roman"/>
          <w:sz w:val="24"/>
          <w:szCs w:val="24"/>
          <w:lang w:eastAsia="pl-PL"/>
        </w:rPr>
        <w:t>Szwedziak</w:t>
      </w:r>
      <w:proofErr w:type="spellEnd"/>
      <w:r w:rsidR="009A0C1D">
        <w:rPr>
          <w:rFonts w:ascii="Times New Roman" w:eastAsia="Times New Roman" w:hAnsi="Times New Roman" w:cs="Times New Roman"/>
          <w:sz w:val="24"/>
          <w:szCs w:val="24"/>
          <w:lang w:eastAsia="pl-PL"/>
        </w:rPr>
        <w:t>,</w:t>
      </w:r>
      <w:r w:rsidR="009A0C1D" w:rsidRPr="00E229D2">
        <w:rPr>
          <w:rFonts w:ascii="Times New Roman" w:eastAsia="Times New Roman" w:hAnsi="Times New Roman" w:cs="Times New Roman"/>
          <w:sz w:val="24"/>
          <w:szCs w:val="24"/>
          <w:lang w:eastAsia="pl-PL"/>
        </w:rPr>
        <w:t xml:space="preserve"> Monika Izabela </w:t>
      </w:r>
      <w:proofErr w:type="spellStart"/>
      <w:r w:rsidR="009A0C1D" w:rsidRPr="00E229D2">
        <w:rPr>
          <w:rFonts w:ascii="Times New Roman" w:eastAsia="Times New Roman" w:hAnsi="Times New Roman" w:cs="Times New Roman"/>
          <w:sz w:val="24"/>
          <w:szCs w:val="24"/>
          <w:lang w:eastAsia="pl-PL"/>
        </w:rPr>
        <w:t>Nawrot</w:t>
      </w:r>
      <w:proofErr w:type="spellEnd"/>
      <w:r w:rsidR="009A0C1D" w:rsidRPr="00E229D2">
        <w:rPr>
          <w:rFonts w:ascii="Times New Roman" w:eastAsia="Times New Roman" w:hAnsi="Times New Roman" w:cs="Times New Roman"/>
          <w:sz w:val="24"/>
          <w:szCs w:val="24"/>
          <w:lang w:eastAsia="pl-PL"/>
        </w:rPr>
        <w:t xml:space="preserve">) </w:t>
      </w:r>
    </w:p>
    <w:p w14:paraId="5E442392" w14:textId="00B6ADC2"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W wyniku głosowania Protokół nr 2</w:t>
      </w:r>
      <w:r w:rsidR="00177DB7">
        <w:rPr>
          <w:rFonts w:ascii="Times New Roman" w:hAnsi="Times New Roman" w:cs="Times New Roman"/>
          <w:sz w:val="24"/>
          <w:szCs w:val="24"/>
        </w:rPr>
        <w:t>3</w:t>
      </w:r>
      <w:r w:rsidRPr="006D58EB">
        <w:rPr>
          <w:rFonts w:ascii="Times New Roman" w:hAnsi="Times New Roman" w:cs="Times New Roman"/>
          <w:sz w:val="24"/>
          <w:szCs w:val="24"/>
        </w:rPr>
        <w:t>/202</w:t>
      </w:r>
      <w:r w:rsidR="009A0C1D">
        <w:rPr>
          <w:rFonts w:ascii="Times New Roman" w:hAnsi="Times New Roman" w:cs="Times New Roman"/>
          <w:sz w:val="24"/>
          <w:szCs w:val="24"/>
        </w:rPr>
        <w:t>6</w:t>
      </w:r>
      <w:r w:rsidRPr="006D58EB">
        <w:rPr>
          <w:rFonts w:ascii="Times New Roman" w:hAnsi="Times New Roman" w:cs="Times New Roman"/>
          <w:sz w:val="24"/>
          <w:szCs w:val="24"/>
        </w:rPr>
        <w:t xml:space="preserve"> </w:t>
      </w:r>
      <w:r w:rsidR="009A0C1D" w:rsidRPr="009A0C1D">
        <w:rPr>
          <w:rFonts w:ascii="Times New Roman" w:hAnsi="Times New Roman" w:cs="Times New Roman"/>
          <w:sz w:val="24"/>
          <w:szCs w:val="24"/>
        </w:rPr>
        <w:t xml:space="preserve">z dnia </w:t>
      </w:r>
      <w:r w:rsidR="00177DB7">
        <w:rPr>
          <w:rFonts w:ascii="Times New Roman" w:hAnsi="Times New Roman" w:cs="Times New Roman"/>
          <w:sz w:val="24"/>
          <w:szCs w:val="24"/>
        </w:rPr>
        <w:t xml:space="preserve">11 lutego </w:t>
      </w:r>
      <w:r w:rsidR="009A0C1D" w:rsidRPr="009A0C1D">
        <w:rPr>
          <w:rFonts w:ascii="Times New Roman" w:hAnsi="Times New Roman" w:cs="Times New Roman"/>
          <w:sz w:val="24"/>
          <w:szCs w:val="24"/>
        </w:rPr>
        <w:t>2026 r.</w:t>
      </w:r>
      <w:r w:rsidR="009A0C1D">
        <w:rPr>
          <w:rFonts w:ascii="Times New Roman" w:hAnsi="Times New Roman" w:cs="Times New Roman"/>
          <w:sz w:val="24"/>
          <w:szCs w:val="24"/>
        </w:rPr>
        <w:t xml:space="preserve"> </w:t>
      </w:r>
      <w:r w:rsidRPr="006D58EB">
        <w:rPr>
          <w:rFonts w:ascii="Times New Roman" w:hAnsi="Times New Roman" w:cs="Times New Roman"/>
          <w:sz w:val="24"/>
          <w:szCs w:val="24"/>
        </w:rPr>
        <w:t xml:space="preserve">został przyjęty </w:t>
      </w:r>
      <w:r>
        <w:rPr>
          <w:rFonts w:ascii="Times New Roman" w:hAnsi="Times New Roman" w:cs="Times New Roman"/>
          <w:sz w:val="24"/>
          <w:szCs w:val="24"/>
        </w:rPr>
        <w:t>pozytywnie</w:t>
      </w:r>
      <w:r w:rsidRPr="006D58EB">
        <w:rPr>
          <w:rFonts w:ascii="Times New Roman" w:hAnsi="Times New Roman" w:cs="Times New Roman"/>
          <w:sz w:val="24"/>
          <w:szCs w:val="24"/>
        </w:rPr>
        <w:t>.</w:t>
      </w:r>
    </w:p>
    <w:p w14:paraId="7F619C09" w14:textId="314566D4" w:rsidR="00E229D2" w:rsidRPr="00E229D2" w:rsidRDefault="00E229D2" w:rsidP="000A48F7">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Wolne głosy i wnioski</w:t>
      </w:r>
    </w:p>
    <w:p w14:paraId="3553D63D" w14:textId="40A77011" w:rsidR="00E229D2" w:rsidRDefault="00E229D2" w:rsidP="00374130">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Brak dyskusji</w:t>
      </w:r>
    </w:p>
    <w:p w14:paraId="3CEAECC4" w14:textId="56D46F05" w:rsidR="009A0C1D" w:rsidRPr="00E229D2" w:rsidRDefault="009A0C1D" w:rsidP="009A0C1D">
      <w:pPr>
        <w:pStyle w:val="Akapitzlist"/>
        <w:numPr>
          <w:ilvl w:val="0"/>
          <w:numId w:val="2"/>
        </w:num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Zakończenie posiedzenia</w:t>
      </w:r>
    </w:p>
    <w:p w14:paraId="2D208679" w14:textId="48994E86" w:rsidR="00E229D2" w:rsidRPr="00E229D2" w:rsidRDefault="00374130" w:rsidP="00374130">
      <w:pPr>
        <w:spacing w:line="276" w:lineRule="auto"/>
        <w:ind w:left="708"/>
        <w:rPr>
          <w:rFonts w:ascii="Times New Roman" w:hAnsi="Times New Roman" w:cs="Times New Roman"/>
          <w:sz w:val="24"/>
          <w:szCs w:val="24"/>
        </w:rPr>
      </w:pPr>
      <w:r>
        <w:rPr>
          <w:rFonts w:ascii="Times New Roman" w:hAnsi="Times New Roman" w:cs="Times New Roman"/>
          <w:sz w:val="24"/>
          <w:szCs w:val="24"/>
        </w:rPr>
        <w:t>P</w:t>
      </w:r>
      <w:r w:rsidR="00E229D2" w:rsidRPr="00E229D2">
        <w:rPr>
          <w:rFonts w:ascii="Times New Roman" w:hAnsi="Times New Roman" w:cs="Times New Roman"/>
          <w:sz w:val="24"/>
          <w:szCs w:val="24"/>
        </w:rPr>
        <w:t>osiedzenie komisji zakończyło się o godzinie 1</w:t>
      </w:r>
      <w:r w:rsidR="009A0C1D">
        <w:rPr>
          <w:rFonts w:ascii="Times New Roman" w:hAnsi="Times New Roman" w:cs="Times New Roman"/>
          <w:sz w:val="24"/>
          <w:szCs w:val="24"/>
        </w:rPr>
        <w:t>6:</w:t>
      </w:r>
      <w:r w:rsidR="00825777">
        <w:rPr>
          <w:rFonts w:ascii="Times New Roman" w:hAnsi="Times New Roman" w:cs="Times New Roman"/>
          <w:sz w:val="24"/>
          <w:szCs w:val="24"/>
        </w:rPr>
        <w:t>39</w:t>
      </w:r>
      <w:r w:rsidR="00E229D2" w:rsidRPr="00E229D2">
        <w:rPr>
          <w:rFonts w:ascii="Times New Roman" w:hAnsi="Times New Roman" w:cs="Times New Roman"/>
          <w:sz w:val="24"/>
          <w:szCs w:val="24"/>
        </w:rPr>
        <w:t>.</w:t>
      </w:r>
    </w:p>
    <w:p w14:paraId="2BB3E873" w14:textId="77777777" w:rsidR="006D58EB" w:rsidRPr="00E229D2" w:rsidRDefault="006D58EB" w:rsidP="00E229D2">
      <w:pPr>
        <w:spacing w:line="276" w:lineRule="auto"/>
        <w:rPr>
          <w:rFonts w:ascii="Times New Roman" w:hAnsi="Times New Roman" w:cs="Times New Roman"/>
          <w:sz w:val="24"/>
          <w:szCs w:val="24"/>
        </w:rPr>
      </w:pPr>
    </w:p>
    <w:p w14:paraId="2EBD6AFD" w14:textId="77777777" w:rsidR="00E229D2" w:rsidRPr="00E229D2" w:rsidRDefault="00E229D2" w:rsidP="00E229D2">
      <w:pPr>
        <w:spacing w:line="276" w:lineRule="auto"/>
        <w:rPr>
          <w:rFonts w:ascii="Times New Roman" w:hAnsi="Times New Roman" w:cs="Times New Roman"/>
          <w:sz w:val="24"/>
          <w:szCs w:val="24"/>
        </w:rPr>
      </w:pPr>
    </w:p>
    <w:p w14:paraId="33BE435A" w14:textId="77777777" w:rsidR="00E229D2" w:rsidRPr="00E229D2" w:rsidRDefault="00E229D2" w:rsidP="00E229D2">
      <w:pPr>
        <w:pStyle w:val="Standard"/>
        <w:spacing w:line="276" w:lineRule="auto"/>
        <w:ind w:firstLine="705"/>
        <w:jc w:val="both"/>
        <w:rPr>
          <w:rFonts w:cs="Times New Roman"/>
          <w:lang w:val="pl-PL"/>
        </w:rPr>
      </w:pPr>
      <w:r w:rsidRPr="00E229D2">
        <w:rPr>
          <w:rFonts w:cs="Times New Roman"/>
          <w:lang w:val="pl-PL"/>
        </w:rPr>
        <w:t xml:space="preserve">Sekretarz Komisji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Przewodnicząca Komisji</w:t>
      </w:r>
    </w:p>
    <w:p w14:paraId="252AAC90" w14:textId="77777777" w:rsidR="00E229D2" w:rsidRPr="00E229D2" w:rsidRDefault="00E229D2" w:rsidP="00E229D2">
      <w:pPr>
        <w:pStyle w:val="Standard"/>
        <w:spacing w:line="276" w:lineRule="auto"/>
        <w:ind w:firstLine="708"/>
        <w:jc w:val="both"/>
        <w:rPr>
          <w:rFonts w:cs="Times New Roman"/>
          <w:bCs/>
          <w:color w:val="000000"/>
          <w:lang w:val="pl-PL"/>
        </w:rPr>
      </w:pPr>
      <w:r w:rsidRPr="00E229D2">
        <w:rPr>
          <w:rFonts w:cs="Times New Roman"/>
          <w:lang w:val="pl-PL"/>
        </w:rPr>
        <w:t xml:space="preserve">Maciej Różański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 xml:space="preserve">Katarzyna </w:t>
      </w:r>
      <w:proofErr w:type="spellStart"/>
      <w:r w:rsidRPr="00E229D2">
        <w:rPr>
          <w:rFonts w:cs="Times New Roman"/>
          <w:lang w:val="pl-PL"/>
        </w:rPr>
        <w:t>Ekwińska</w:t>
      </w:r>
      <w:proofErr w:type="spellEnd"/>
      <w:r w:rsidRPr="00E229D2">
        <w:rPr>
          <w:rFonts w:cs="Times New Roman"/>
          <w:lang w:val="pl-PL"/>
        </w:rPr>
        <w:tab/>
      </w:r>
    </w:p>
    <w:p w14:paraId="7224D748" w14:textId="77777777" w:rsidR="00832A53" w:rsidRPr="00825777" w:rsidRDefault="00832A53" w:rsidP="00825777">
      <w:pPr>
        <w:spacing w:line="276" w:lineRule="auto"/>
        <w:jc w:val="both"/>
        <w:rPr>
          <w:rFonts w:ascii="Times New Roman" w:hAnsi="Times New Roman" w:cs="Times New Roman"/>
          <w:sz w:val="24"/>
          <w:szCs w:val="24"/>
        </w:rPr>
      </w:pPr>
    </w:p>
    <w:sectPr w:rsidR="00832A53" w:rsidRPr="008257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218F7" w14:textId="77777777" w:rsidR="00856DD8" w:rsidRDefault="00856DD8" w:rsidP="008901ED">
      <w:pPr>
        <w:spacing w:after="0" w:line="240" w:lineRule="auto"/>
      </w:pPr>
      <w:r>
        <w:separator/>
      </w:r>
    </w:p>
  </w:endnote>
  <w:endnote w:type="continuationSeparator" w:id="0">
    <w:p w14:paraId="38A8D1A4" w14:textId="77777777" w:rsidR="00856DD8" w:rsidRDefault="00856DD8" w:rsidP="008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50864" w14:textId="77777777" w:rsidR="00856DD8" w:rsidRDefault="00856DD8" w:rsidP="008901ED">
      <w:pPr>
        <w:spacing w:after="0" w:line="240" w:lineRule="auto"/>
      </w:pPr>
      <w:r>
        <w:separator/>
      </w:r>
    </w:p>
  </w:footnote>
  <w:footnote w:type="continuationSeparator" w:id="0">
    <w:p w14:paraId="4591E8D9" w14:textId="77777777" w:rsidR="00856DD8" w:rsidRDefault="00856DD8" w:rsidP="00890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66ADF"/>
    <w:multiLevelType w:val="multilevel"/>
    <w:tmpl w:val="7F2AD5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0D43"/>
    <w:multiLevelType w:val="multilevel"/>
    <w:tmpl w:val="0712B7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15:restartNumberingAfterBreak="0">
    <w:nsid w:val="206B5E2B"/>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D14B3"/>
    <w:multiLevelType w:val="multilevel"/>
    <w:tmpl w:val="84DA432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2"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735E5"/>
    <w:multiLevelType w:val="multilevel"/>
    <w:tmpl w:val="A05465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840E89"/>
    <w:multiLevelType w:val="multilevel"/>
    <w:tmpl w:val="A1F83B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1"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6C2526B"/>
    <w:multiLevelType w:val="multilevel"/>
    <w:tmpl w:val="30F6CD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2054886589">
    <w:abstractNumId w:val="20"/>
  </w:num>
  <w:num w:numId="2" w16cid:durableId="645744386">
    <w:abstractNumId w:val="15"/>
  </w:num>
  <w:num w:numId="3" w16cid:durableId="263196388">
    <w:abstractNumId w:val="21"/>
  </w:num>
  <w:num w:numId="4" w16cid:durableId="1475365229">
    <w:abstractNumId w:val="17"/>
  </w:num>
  <w:num w:numId="5" w16cid:durableId="1572346574">
    <w:abstractNumId w:val="7"/>
  </w:num>
  <w:num w:numId="6" w16cid:durableId="534738350">
    <w:abstractNumId w:val="2"/>
  </w:num>
  <w:num w:numId="7" w16cid:durableId="1102410627">
    <w:abstractNumId w:val="18"/>
  </w:num>
  <w:num w:numId="8" w16cid:durableId="192110606">
    <w:abstractNumId w:val="9"/>
  </w:num>
  <w:num w:numId="9" w16cid:durableId="997538820">
    <w:abstractNumId w:val="13"/>
  </w:num>
  <w:num w:numId="10" w16cid:durableId="756708200">
    <w:abstractNumId w:val="6"/>
  </w:num>
  <w:num w:numId="11" w16cid:durableId="132675162">
    <w:abstractNumId w:val="0"/>
  </w:num>
  <w:num w:numId="12" w16cid:durableId="674724953">
    <w:abstractNumId w:val="4"/>
  </w:num>
  <w:num w:numId="13" w16cid:durableId="329335218">
    <w:abstractNumId w:val="11"/>
  </w:num>
  <w:num w:numId="14" w16cid:durableId="184292440">
    <w:abstractNumId w:val="19"/>
  </w:num>
  <w:num w:numId="15" w16cid:durableId="2143226178">
    <w:abstractNumId w:val="10"/>
  </w:num>
  <w:num w:numId="16" w16cid:durableId="153616872">
    <w:abstractNumId w:val="12"/>
  </w:num>
  <w:num w:numId="17" w16cid:durableId="1533302345">
    <w:abstractNumId w:val="3"/>
  </w:num>
  <w:num w:numId="18" w16cid:durableId="426317940">
    <w:abstractNumId w:val="22"/>
  </w:num>
  <w:num w:numId="19" w16cid:durableId="465664271">
    <w:abstractNumId w:val="16"/>
  </w:num>
  <w:num w:numId="20" w16cid:durableId="1894345045">
    <w:abstractNumId w:val="14"/>
  </w:num>
  <w:num w:numId="21" w16cid:durableId="1650095377">
    <w:abstractNumId w:val="5"/>
  </w:num>
  <w:num w:numId="22" w16cid:durableId="1260723171">
    <w:abstractNumId w:val="8"/>
  </w:num>
  <w:num w:numId="23" w16cid:durableId="2026176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2D"/>
    <w:rsid w:val="000109DA"/>
    <w:rsid w:val="0006128C"/>
    <w:rsid w:val="000669ED"/>
    <w:rsid w:val="000A377E"/>
    <w:rsid w:val="000A48F7"/>
    <w:rsid w:val="00155667"/>
    <w:rsid w:val="001757B5"/>
    <w:rsid w:val="00177DB7"/>
    <w:rsid w:val="001E1140"/>
    <w:rsid w:val="00225B81"/>
    <w:rsid w:val="002726B5"/>
    <w:rsid w:val="00276280"/>
    <w:rsid w:val="002F312E"/>
    <w:rsid w:val="00334057"/>
    <w:rsid w:val="00366C68"/>
    <w:rsid w:val="00374130"/>
    <w:rsid w:val="003E3533"/>
    <w:rsid w:val="0045119B"/>
    <w:rsid w:val="00472D2D"/>
    <w:rsid w:val="004E21AD"/>
    <w:rsid w:val="00510709"/>
    <w:rsid w:val="00515E6B"/>
    <w:rsid w:val="005608E7"/>
    <w:rsid w:val="006129AC"/>
    <w:rsid w:val="00686732"/>
    <w:rsid w:val="0069593D"/>
    <w:rsid w:val="006D58EB"/>
    <w:rsid w:val="006F7E17"/>
    <w:rsid w:val="007F692A"/>
    <w:rsid w:val="00825777"/>
    <w:rsid w:val="00832A53"/>
    <w:rsid w:val="00856DD8"/>
    <w:rsid w:val="008901ED"/>
    <w:rsid w:val="008D5DFA"/>
    <w:rsid w:val="008F0181"/>
    <w:rsid w:val="00996E51"/>
    <w:rsid w:val="009A0C1D"/>
    <w:rsid w:val="009C477C"/>
    <w:rsid w:val="009E192B"/>
    <w:rsid w:val="009E776D"/>
    <w:rsid w:val="00A7294D"/>
    <w:rsid w:val="00A91198"/>
    <w:rsid w:val="00AA7913"/>
    <w:rsid w:val="00AE196D"/>
    <w:rsid w:val="00AF1E54"/>
    <w:rsid w:val="00B21B3A"/>
    <w:rsid w:val="00B54E8C"/>
    <w:rsid w:val="00B613C9"/>
    <w:rsid w:val="00B72357"/>
    <w:rsid w:val="00B818A8"/>
    <w:rsid w:val="00B9078C"/>
    <w:rsid w:val="00B96FC6"/>
    <w:rsid w:val="00BB4E46"/>
    <w:rsid w:val="00BC7F9B"/>
    <w:rsid w:val="00C15CAD"/>
    <w:rsid w:val="00C22532"/>
    <w:rsid w:val="00C6375C"/>
    <w:rsid w:val="00C663DF"/>
    <w:rsid w:val="00C81590"/>
    <w:rsid w:val="00C965E2"/>
    <w:rsid w:val="00C96BF0"/>
    <w:rsid w:val="00D4785A"/>
    <w:rsid w:val="00D74F78"/>
    <w:rsid w:val="00D76B5D"/>
    <w:rsid w:val="00D9113B"/>
    <w:rsid w:val="00DA5FDC"/>
    <w:rsid w:val="00DB0E74"/>
    <w:rsid w:val="00DB29A2"/>
    <w:rsid w:val="00DC118C"/>
    <w:rsid w:val="00E17083"/>
    <w:rsid w:val="00E229D2"/>
    <w:rsid w:val="00E23B15"/>
    <w:rsid w:val="00E3592D"/>
    <w:rsid w:val="00E503AC"/>
    <w:rsid w:val="00E672B3"/>
    <w:rsid w:val="00E70656"/>
    <w:rsid w:val="00EB1499"/>
    <w:rsid w:val="00EE448D"/>
    <w:rsid w:val="00F3629F"/>
    <w:rsid w:val="00FD7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6BEA"/>
  <w15:chartTrackingRefBased/>
  <w15:docId w15:val="{8DA632AA-DB03-4B9F-99D3-F68EF3CD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0C1D"/>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8540-D587-4900-BDDC-B5B7B97F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3464</Words>
  <Characters>20788</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revision>4</cp:revision>
  <cp:lastPrinted>2026-01-19T16:19:00Z</cp:lastPrinted>
  <dcterms:created xsi:type="dcterms:W3CDTF">2026-04-19T20:47:00Z</dcterms:created>
  <dcterms:modified xsi:type="dcterms:W3CDTF">2026-04-19T20:49:00Z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2026-04-19T20:47:57Z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c4446239-0a3b-4535-b662-1d6df93f861b</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