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andard"/>
        <w:spacing w:lineRule="auto" w:line="276"/>
        <w:jc w:val="center"/>
        <w:rPr>
          <w:rFonts w:ascii="Calibri" w:hAnsi="Calibri" w:cs="Calibri" w:asciiTheme="minorHAnsi" w:cstheme="minorHAnsi" w:hAnsiTheme="minorHAnsi"/>
          <w:b/>
          <w:bCs/>
          <w:lang w:val="pl-PL"/>
        </w:rPr>
      </w:pPr>
      <w:r>
        <w:rPr>
          <w:rFonts w:cs="Calibri" w:ascii="Calibri" w:hAnsi="Calibri" w:asciiTheme="minorHAnsi" w:cstheme="minorHAnsi" w:hAnsiTheme="minorHAnsi"/>
          <w:b/>
          <w:bCs/>
          <w:lang w:val="pl-PL"/>
        </w:rPr>
        <w:t>Protokół nr 09/2025 z dnia 16.01.2025 r.</w:t>
      </w:r>
    </w:p>
    <w:p>
      <w:pPr>
        <w:pStyle w:val="Standard"/>
        <w:spacing w:lineRule="auto" w:line="276"/>
        <w:jc w:val="center"/>
        <w:rPr>
          <w:rFonts w:ascii="Calibri" w:hAnsi="Calibri" w:cs="Calibri" w:asciiTheme="minorHAnsi" w:cstheme="minorHAnsi" w:hAnsiTheme="minorHAnsi"/>
          <w:b/>
          <w:bCs/>
          <w:lang w:val="pl-PL"/>
        </w:rPr>
      </w:pPr>
      <w:r>
        <w:rPr>
          <w:rFonts w:cs="Calibri" w:ascii="Calibri" w:hAnsi="Calibri" w:asciiTheme="minorHAnsi" w:cstheme="minorHAnsi" w:hAnsiTheme="minorHAnsi"/>
          <w:b/>
          <w:bCs/>
          <w:lang w:val="pl-PL"/>
        </w:rPr>
        <w:t>posiedzenia Komisji Rewizyjnej RML</w:t>
      </w:r>
    </w:p>
    <w:p>
      <w:pPr>
        <w:pStyle w:val="Standard"/>
        <w:spacing w:lineRule="auto" w:line="276"/>
        <w:rPr>
          <w:rFonts w:ascii="Calibri" w:hAnsi="Calibri" w:cs="Calibri" w:asciiTheme="minorHAnsi" w:cstheme="minorHAnsi" w:hAnsiTheme="minorHAnsi"/>
          <w:u w:val="single"/>
          <w:lang w:val="pl-PL"/>
        </w:rPr>
      </w:pPr>
      <w:r>
        <w:rPr>
          <w:rFonts w:cs="Calibri" w:cstheme="minorHAnsi" w:ascii="Calibri" w:hAnsi="Calibri"/>
          <w:u w:val="single"/>
          <w:lang w:val="pl-PL"/>
        </w:rPr>
      </w:r>
    </w:p>
    <w:p>
      <w:pPr>
        <w:pStyle w:val="Standard"/>
        <w:spacing w:lineRule="auto" w:line="276" w:before="0" w:after="283"/>
        <w:jc w:val="center"/>
        <w:rPr>
          <w:rFonts w:ascii="Calibri" w:hAnsi="Calibri" w:cs="Calibri" w:asciiTheme="minorHAnsi" w:cstheme="minorHAnsi" w:hAnsiTheme="minorHAnsi"/>
          <w:u w:val="single"/>
        </w:rPr>
      </w:pPr>
      <w:bookmarkStart w:id="0" w:name="_Hlk146539768"/>
      <w:r>
        <w:rPr>
          <w:rFonts w:eastAsia="Times New Roman" w:cs="Calibri" w:ascii="Calibri" w:hAnsi="Calibri" w:asciiTheme="minorHAnsi" w:cstheme="minorHAnsi" w:hAnsiTheme="minorHAnsi"/>
          <w:u w:val="single"/>
          <w:lang w:val="pl-PL"/>
        </w:rPr>
        <w:t>Temat</w:t>
      </w:r>
      <w:r>
        <w:rPr>
          <w:rFonts w:eastAsia="Tahoma" w:cs="Calibri" w:ascii="Calibri" w:hAnsi="Calibri" w:asciiTheme="minorHAnsi" w:cstheme="minorHAnsi" w:hAnsiTheme="minorHAnsi"/>
          <w:u w:val="single"/>
          <w:lang w:val="pl-PL"/>
        </w:rPr>
        <w:t xml:space="preserve"> posiedzenia: </w:t>
      </w:r>
      <w:bookmarkEnd w:id="0"/>
      <w:r>
        <w:rPr>
          <w:rFonts w:cs="Calibri" w:ascii="Calibri" w:hAnsi="Calibri" w:asciiTheme="minorHAnsi" w:cstheme="minorHAnsi" w:hAnsiTheme="minorHAnsi"/>
          <w:u w:val="single"/>
        </w:rPr>
        <w:t xml:space="preserve">Analiza wydatków </w:t>
      </w:r>
      <w:bookmarkStart w:id="1" w:name="_Hlk188006943"/>
      <w:r>
        <w:rPr>
          <w:rFonts w:cs="Calibri" w:ascii="Calibri" w:hAnsi="Calibri" w:asciiTheme="minorHAnsi" w:cstheme="minorHAnsi" w:hAnsiTheme="minorHAnsi"/>
          <w:u w:val="single"/>
        </w:rPr>
        <w:t xml:space="preserve">Biura Majątku Komunalnego </w:t>
      </w:r>
      <w:bookmarkEnd w:id="1"/>
      <w:r>
        <w:rPr>
          <w:rFonts w:cs="Calibri" w:ascii="Calibri" w:hAnsi="Calibri" w:asciiTheme="minorHAnsi" w:cstheme="minorHAnsi" w:hAnsiTheme="minorHAnsi"/>
          <w:u w:val="single"/>
        </w:rPr>
        <w:t>w Luboniu w 2024 roku.</w:t>
      </w:r>
    </w:p>
    <w:p>
      <w:pPr>
        <w:pStyle w:val="Standard"/>
        <w:spacing w:lineRule="auto" w:line="276" w:before="0" w:after="283"/>
        <w:jc w:val="center"/>
        <w:rPr>
          <w:rFonts w:ascii="Calibri" w:hAnsi="Calibri" w:cs="Calibri" w:asciiTheme="minorHAnsi" w:cstheme="minorHAnsi" w:hAnsiTheme="minorHAnsi"/>
        </w:rPr>
      </w:pPr>
      <w:r>
        <w:rPr>
          <w:rFonts w:cs="Calibri" w:ascii="Calibri" w:hAnsi="Calibri" w:asciiTheme="minorHAnsi" w:cstheme="minorHAnsi" w:hAnsiTheme="minorHAnsi"/>
        </w:rPr>
        <w:t xml:space="preserve">Zakres </w:t>
      </w:r>
      <w:r>
        <w:rPr>
          <w:rFonts w:cs="Calibri" w:ascii="Calibri" w:hAnsi="Calibri" w:asciiTheme="minorHAnsi" w:cstheme="minorHAnsi" w:hAnsiTheme="minorHAnsi"/>
          <w:lang w:val="pl-PL"/>
        </w:rPr>
        <w:t>kontroli</w:t>
      </w:r>
      <w:r>
        <w:rPr>
          <w:rFonts w:cs="Calibri" w:ascii="Calibri" w:hAnsi="Calibri" w:asciiTheme="minorHAnsi" w:cstheme="minorHAnsi" w:hAnsiTheme="minorHAnsi"/>
        </w:rPr>
        <w:t>: Komisja zbadała gospadarkę finansową, organizacje pracy, oraz wydatki poniesione przez  Biuro Majątku Komunalnego w Luboniu</w:t>
      </w:r>
      <w:r>
        <w:rPr>
          <w:rFonts w:cs="Calibri" w:cstheme="minorHAnsi"/>
        </w:rPr>
        <w:t xml:space="preserve"> </w:t>
      </w:r>
      <w:r>
        <w:rPr>
          <w:rFonts w:cs="Calibri" w:ascii="Calibri" w:hAnsi="Calibri" w:asciiTheme="minorHAnsi" w:cstheme="minorHAnsi" w:hAnsiTheme="minorHAnsi"/>
        </w:rPr>
        <w:t>w 2024 roku.</w:t>
      </w:r>
    </w:p>
    <w:p>
      <w:pPr>
        <w:pStyle w:val="Normal"/>
        <w:rPr>
          <w:rFonts w:cs="Calibri" w:cstheme="minorHAnsi"/>
        </w:rPr>
      </w:pPr>
      <w:r>
        <w:rPr>
          <w:rFonts w:cs="Calibri" w:cstheme="minorHAnsi"/>
        </w:rPr>
        <w:t>Porządek obrad:</w:t>
      </w:r>
    </w:p>
    <w:p>
      <w:pPr>
        <w:pStyle w:val="ListParagraph"/>
        <w:numPr>
          <w:ilvl w:val="0"/>
          <w:numId w:val="1"/>
        </w:numPr>
        <w:jc w:val="both"/>
        <w:rPr>
          <w:rFonts w:cs="Calibri" w:cstheme="minorHAnsi"/>
        </w:rPr>
      </w:pPr>
      <w:r>
        <w:rPr>
          <w:rFonts w:cs="Calibri" w:cstheme="minorHAnsi"/>
        </w:rPr>
        <w:t>Sprawdzenie obecności i stwierdzenie</w:t>
      </w:r>
      <w:r>
        <w:rPr>
          <w:rFonts w:eastAsia="Tahoma" w:cs="Calibri" w:cstheme="minorHAnsi"/>
        </w:rPr>
        <w:t xml:space="preserve"> quorum.</w:t>
      </w:r>
    </w:p>
    <w:p>
      <w:pPr>
        <w:pStyle w:val="ListParagraph"/>
        <w:numPr>
          <w:ilvl w:val="0"/>
          <w:numId w:val="1"/>
        </w:numPr>
        <w:jc w:val="both"/>
        <w:rPr>
          <w:rFonts w:cs="Calibri" w:cstheme="minorHAnsi"/>
        </w:rPr>
      </w:pPr>
      <w:bookmarkStart w:id="2" w:name="_Hlk178760068"/>
      <w:r>
        <w:rPr>
          <w:rFonts w:cs="Calibri" w:cstheme="minorHAnsi"/>
        </w:rPr>
        <w:t>Przedstawienie </w:t>
      </w:r>
      <w:bookmarkStart w:id="3" w:name="_Hlk184291403"/>
      <w:r>
        <w:rPr>
          <w:rFonts w:cs="Calibri" w:cstheme="minorHAnsi"/>
        </w:rPr>
        <w:t xml:space="preserve">zestawienia wydatków obejmujących remonty budynków komunalnych </w:t>
      </w:r>
      <w:bookmarkEnd w:id="3"/>
      <w:r>
        <w:rPr>
          <w:rFonts w:cs="Calibri" w:cstheme="minorHAnsi"/>
        </w:rPr>
        <w:t>za rok 2024.</w:t>
      </w:r>
      <w:bookmarkEnd w:id="2"/>
    </w:p>
    <w:p>
      <w:pPr>
        <w:pStyle w:val="ListParagraph"/>
        <w:numPr>
          <w:ilvl w:val="0"/>
          <w:numId w:val="1"/>
        </w:numPr>
        <w:jc w:val="both"/>
        <w:rPr>
          <w:rFonts w:cs="Calibri" w:cstheme="minorHAnsi"/>
        </w:rPr>
      </w:pPr>
      <w:r>
        <w:rPr>
          <w:rFonts w:cs="Calibri" w:cstheme="minorHAnsi"/>
        </w:rPr>
        <w:t>Weryfikacja wybranych dokumentów księgowych potwierdzających</w:t>
      </w:r>
      <w:bookmarkStart w:id="4" w:name="_Hlk178760186"/>
      <w:r>
        <w:rPr>
          <w:rFonts w:cs="Calibri" w:cstheme="minorHAnsi"/>
        </w:rPr>
        <w:t xml:space="preserve"> wydatki Biura Majątku Komunalnego w Luboniu w 2024 roku.</w:t>
      </w:r>
      <w:bookmarkEnd w:id="4"/>
    </w:p>
    <w:p>
      <w:pPr>
        <w:pStyle w:val="ListParagraph"/>
        <w:numPr>
          <w:ilvl w:val="0"/>
          <w:numId w:val="1"/>
        </w:numPr>
        <w:jc w:val="both"/>
        <w:rPr>
          <w:rFonts w:cs="Calibri" w:cstheme="minorHAnsi"/>
        </w:rPr>
      </w:pPr>
      <w:r>
        <w:rPr>
          <w:rFonts w:cs="Calibri" w:cstheme="minorHAnsi"/>
        </w:rPr>
        <w:t>Pytania radnych.</w:t>
      </w:r>
    </w:p>
    <w:p>
      <w:pPr>
        <w:pStyle w:val="ListParagraph"/>
        <w:numPr>
          <w:ilvl w:val="0"/>
          <w:numId w:val="1"/>
        </w:numPr>
        <w:jc w:val="both"/>
        <w:rPr>
          <w:rFonts w:cs="Calibri" w:cstheme="minorHAnsi"/>
        </w:rPr>
      </w:pPr>
      <w:r>
        <w:rPr>
          <w:rFonts w:cs="Calibri" w:cstheme="minorHAnsi"/>
        </w:rPr>
        <w:t>Wnioski, zalecenia, rekomendacje Komisji Rewizyjnej.</w:t>
      </w:r>
    </w:p>
    <w:p>
      <w:pPr>
        <w:pStyle w:val="ListParagraph"/>
        <w:numPr>
          <w:ilvl w:val="0"/>
          <w:numId w:val="1"/>
        </w:numPr>
        <w:jc w:val="both"/>
        <w:rPr>
          <w:rFonts w:cs="Calibri" w:cstheme="minorHAnsi"/>
        </w:rPr>
      </w:pPr>
      <w:bookmarkStart w:id="5" w:name="_Hlk178760248"/>
      <w:r>
        <w:rPr>
          <w:rFonts w:cs="Calibri" w:cstheme="minorHAnsi"/>
        </w:rPr>
        <w:t xml:space="preserve">Przyjęcie </w:t>
      </w:r>
      <w:bookmarkStart w:id="6" w:name="_Hlk178760279"/>
      <w:r>
        <w:rPr>
          <w:rFonts w:cs="Calibri" w:cstheme="minorHAnsi"/>
        </w:rPr>
        <w:t>protokołu 08/2024 z dnia 16 grudnia 2024 r.</w:t>
      </w:r>
      <w:bookmarkEnd w:id="5"/>
      <w:bookmarkEnd w:id="6"/>
    </w:p>
    <w:p>
      <w:pPr>
        <w:pStyle w:val="ListParagraph"/>
        <w:numPr>
          <w:ilvl w:val="0"/>
          <w:numId w:val="1"/>
        </w:numPr>
        <w:jc w:val="both"/>
        <w:rPr>
          <w:rFonts w:cs="Calibri" w:cstheme="minorHAnsi"/>
        </w:rPr>
      </w:pPr>
      <w:r>
        <w:rPr>
          <w:rFonts w:cs="Calibri" w:cstheme="minorHAnsi"/>
        </w:rPr>
        <w:t>Wolne głosy i wnioski.</w:t>
      </w:r>
    </w:p>
    <w:p>
      <w:pPr>
        <w:pStyle w:val="Normal"/>
        <w:rPr>
          <w:rFonts w:cs="Calibri" w:cstheme="minorHAnsi"/>
        </w:rPr>
      </w:pPr>
      <w:r>
        <w:rPr>
          <w:rFonts w:cs="Calibri" w:cstheme="minorHAnsi"/>
        </w:rPr>
        <w:t>Przebieg posiedzenia:</w:t>
      </w:r>
    </w:p>
    <w:p>
      <w:pPr>
        <w:pStyle w:val="ListParagraph"/>
        <w:numPr>
          <w:ilvl w:val="0"/>
          <w:numId w:val="2"/>
        </w:numPr>
        <w:jc w:val="both"/>
        <w:rPr>
          <w:rFonts w:cs="Calibri" w:cstheme="minorHAnsi"/>
          <w:u w:val="single"/>
        </w:rPr>
      </w:pPr>
      <w:r>
        <w:rPr>
          <w:rFonts w:cs="Calibri" w:cstheme="minorHAnsi"/>
          <w:u w:val="single"/>
        </w:rPr>
        <w:t>Sprawdzenie obecności i stwierdzenie</w:t>
      </w:r>
      <w:r>
        <w:rPr>
          <w:rFonts w:eastAsia="Tahoma" w:cs="Calibri" w:cstheme="minorHAnsi"/>
          <w:u w:val="single"/>
        </w:rPr>
        <w:t xml:space="preserve"> quorum.</w:t>
      </w:r>
    </w:p>
    <w:p>
      <w:pPr>
        <w:pStyle w:val="ListParagraph"/>
        <w:jc w:val="both"/>
        <w:rPr>
          <w:rFonts w:eastAsia="Tahoma" w:cs="Calibri" w:cstheme="minorHAnsi"/>
        </w:rPr>
      </w:pPr>
      <w:r>
        <w:rPr>
          <w:rFonts w:cs="Calibri" w:cstheme="minorHAnsi"/>
        </w:rPr>
        <w:t>Przewodniczący przywitał członków Komisji Rewizyjnej oraz gospodarzy spotkania:</w:t>
        <w:br/>
        <w:t xml:space="preserve">Pana Dariusza Springera Z-cę Dyrektora Biura Majątku Komunalnego w Luboniu oraz Panią  Krystynę Walczak - Główną Księgową, następnie sprawdził obecność i stwierdził </w:t>
      </w:r>
      <w:r>
        <w:rPr>
          <w:rFonts w:eastAsia="Tahoma" w:cs="Calibri" w:cstheme="minorHAnsi"/>
        </w:rPr>
        <w:t xml:space="preserve">quorum – wszyscy członkowie Komisji Rewizyjnej byli obecni. 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numPr>
          <w:ilvl w:val="0"/>
          <w:numId w:val="2"/>
        </w:numPr>
        <w:jc w:val="both"/>
        <w:rPr>
          <w:rFonts w:eastAsia="Tahoma" w:cs="Calibri" w:cstheme="minorHAnsi"/>
          <w:u w:val="single"/>
        </w:rPr>
      </w:pPr>
      <w:r>
        <w:rPr>
          <w:rFonts w:cs="Calibri" w:cstheme="minorHAnsi"/>
          <w:u w:val="single"/>
        </w:rPr>
        <w:t>Przedstawienie zestawienia wydatków Biura Majątku Komunalnego w Luboniu za rok 2024.</w:t>
      </w:r>
    </w:p>
    <w:p>
      <w:pPr>
        <w:pStyle w:val="ListParagraph"/>
        <w:jc w:val="both"/>
        <w:rPr>
          <w:rFonts w:eastAsia="Tahoma" w:cs="Calibri" w:cstheme="minorHAnsi"/>
        </w:rPr>
      </w:pPr>
      <w:r>
        <w:rPr>
          <w:rFonts w:cs="Calibri" w:cstheme="minorHAnsi"/>
        </w:rPr>
        <w:t>Pan Dariusz Springer przedstawił i omówił zestawienie remontów budynków komunalnych. Zestawienie stanowi załącznik do protokołu.</w:t>
      </w:r>
    </w:p>
    <w:p>
      <w:pPr>
        <w:pStyle w:val="ListParagraph"/>
        <w:ind w:left="1080" w:hanging="0"/>
        <w:jc w:val="both"/>
        <w:rPr>
          <w:rFonts w:eastAsia="Tahoma" w:cs="Calibri" w:cstheme="minorHAnsi"/>
        </w:rPr>
      </w:pPr>
      <w:r>
        <w:rPr>
          <w:rFonts w:eastAsia="Tahoma" w:cs="Calibri" w:cstheme="minorHAnsi"/>
        </w:rPr>
      </w:r>
    </w:p>
    <w:p>
      <w:pPr>
        <w:pStyle w:val="ListParagraph"/>
        <w:numPr>
          <w:ilvl w:val="0"/>
          <w:numId w:val="2"/>
        </w:numPr>
        <w:jc w:val="both"/>
        <w:rPr>
          <w:rFonts w:cs="Calibri" w:cstheme="minorHAnsi"/>
          <w:u w:val="single"/>
        </w:rPr>
      </w:pPr>
      <w:r>
        <w:rPr>
          <w:rFonts w:cs="Calibri" w:cstheme="minorHAnsi"/>
          <w:u w:val="single"/>
        </w:rPr>
        <w:t>Weryfikacja wybranych dokumentów księgowych potwierdzających wydatki Szkoły Podstawowej nr 1 w Luboniu w 2023 roku.</w:t>
      </w:r>
    </w:p>
    <w:p>
      <w:pPr>
        <w:pStyle w:val="ListParagraph"/>
        <w:numPr>
          <w:ilvl w:val="0"/>
          <w:numId w:val="3"/>
        </w:numPr>
        <w:jc w:val="both"/>
        <w:rPr>
          <w:rFonts w:eastAsia="Tahoma" w:cs="Calibri" w:cstheme="minorHAnsi"/>
        </w:rPr>
      </w:pPr>
      <w:r>
        <w:rPr>
          <w:rFonts w:eastAsia="Tahoma" w:cs="Calibri" w:cstheme="minorHAnsi"/>
        </w:rPr>
        <w:t>KOMLUB – odbiór odpadów, Faktura VAT nr F11/0087FV/4/2024</w:t>
      </w:r>
    </w:p>
    <w:p>
      <w:pPr>
        <w:pStyle w:val="ListParagraph"/>
        <w:numPr>
          <w:ilvl w:val="0"/>
          <w:numId w:val="3"/>
        </w:numPr>
        <w:jc w:val="both"/>
        <w:rPr>
          <w:rFonts w:eastAsia="Tahoma" w:cs="Calibri" w:cstheme="minorHAnsi"/>
        </w:rPr>
      </w:pPr>
      <w:r>
        <w:rPr>
          <w:rFonts w:eastAsia="Tahoma" w:cs="Calibri" w:cstheme="minorHAnsi"/>
        </w:rPr>
        <w:t>KOMLUB – odbiór odpadów, Faktura VAT nr F11/0108FV/5/2024</w:t>
      </w:r>
    </w:p>
    <w:p>
      <w:pPr>
        <w:pStyle w:val="ListParagraph"/>
        <w:numPr>
          <w:ilvl w:val="0"/>
          <w:numId w:val="2"/>
        </w:numPr>
        <w:jc w:val="both"/>
        <w:rPr>
          <w:rFonts w:cs="Calibri" w:cstheme="minorHAnsi"/>
          <w:u w:val="single"/>
        </w:rPr>
      </w:pPr>
      <w:r>
        <w:rPr>
          <w:rFonts w:cs="Calibri" w:cstheme="minorHAnsi"/>
          <w:u w:val="single"/>
        </w:rPr>
        <w:t>Pytania radnych.</w:t>
      </w:r>
    </w:p>
    <w:p>
      <w:pPr>
        <w:pStyle w:val="ListParagraph"/>
        <w:numPr>
          <w:ilvl w:val="0"/>
          <w:numId w:val="5"/>
        </w:numPr>
        <w:jc w:val="both"/>
        <w:rPr>
          <w:rFonts w:cs="Calibri" w:cstheme="minorHAnsi"/>
          <w:u w:val="single"/>
        </w:rPr>
      </w:pPr>
      <w:r>
        <w:rPr>
          <w:rFonts w:cs="Calibri" w:cstheme="minorHAnsi"/>
          <w:u w:val="single"/>
        </w:rPr>
        <w:t>Pytania do Dyrektora Biura Majątku Komunalnego: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>Maciej Różański: Ilu było wykonawców usługi polegającej na budowie wewnętrznej instalacji gazowej w budynku przy ul. Ks. Streicha 27 i czy wybór nastąpił w trybie przetargu?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bookmarkStart w:id="7" w:name="_Hlk188949314"/>
      <w:r>
        <w:rPr>
          <w:rFonts w:cs="Calibri" w:cstheme="minorHAnsi"/>
        </w:rPr>
        <w:t xml:space="preserve">Krystyna Walczak: </w:t>
      </w:r>
      <w:bookmarkEnd w:id="7"/>
      <w:r>
        <w:rPr>
          <w:rFonts w:cs="Calibri" w:cstheme="minorHAnsi"/>
        </w:rPr>
        <w:t>Był jeden wykonawca i odbyło się to w formie przetargowej ze względu na przepisy ustawowe dot. zamówień publicznych powyżej kwoty 130000zł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>Maciej Różański: Jak są wyłaniani wykonawcy usług kwota jest niższa?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Krystyna Walczak: Robimy rozpoznanie rynku, dzwonimy składamy zapytania. Są też firmy sprawdzone, z którymi współpracujemy na stałe. Jednym z podstawowych wymagań z naszej strony jest czas wykonania usługi aby mieszkańcy mieli zapewnione podstawowe potrzeby. Stawiamy na sprawdzone lokalne firmy. 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bookmarkStart w:id="8" w:name="_Hlk188949454"/>
      <w:r>
        <w:rPr>
          <w:rFonts w:cs="Calibri" w:cstheme="minorHAnsi"/>
        </w:rPr>
        <w:t xml:space="preserve">Łukasz Budzyński: </w:t>
      </w:r>
      <w:bookmarkEnd w:id="8"/>
      <w:r>
        <w:rPr>
          <w:rFonts w:cs="Calibri" w:cstheme="minorHAnsi"/>
        </w:rPr>
        <w:t>Jakie mamy zasoby mieszkań i w ilu budynkach ?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>Krystyna Walczak: 24 budynki z czego 2 są to budynki gospodarcze daje to razem 205 mieszkań, które zamieszkuje ok. 480 osób.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>Maciej Różański: Jakie metraże są tych mieszkań?.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Krystyna Walczak: Zdecydowana większość to mieszkania małe i bardzo małe nie przekraczające 38m 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>Łukasz Budzyński: Jakie koszty ponoszą mieszkańcy za m2?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>Krystyna Walczak: Płacą czynsz uśredniony 5,95zł, natomiast stawka podstawowa bez łazienki, ciepłej wody 4,80zł.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>Krystyna Walczak: Wysokość w każdym budynku jest inna. Od 2002 roku czynsz zależy od wartości odtworzeniowej. Corocznie tę stawkę określa Wojewoda.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Konrad Dominiak: Czy mamy narzędzia do tego aby dyscyplinować osoby zalegające z opłatami? Czy mieszkańcy takich mieszkań są zobligowani do przedłożenia deklaracji podatkowej? 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Dariusz Springer: Mieszkańcy przedkładają takie dokumenty natomiast nie posiadamy możliwości prawnych weryfikacji np. przychodów z tytułu tzw. "pracy na czarno”. Natomiast był przypadek ze jeden z mieszkańców posiadał nieruchomość prywatną i wtedy doprowadziliśmy do rozwiązania umowy. 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bookmarkStart w:id="9" w:name="_Hlk188950366"/>
      <w:r>
        <w:rPr>
          <w:rFonts w:cs="Calibri" w:cstheme="minorHAnsi"/>
        </w:rPr>
        <w:t xml:space="preserve">Konrad Dominiak: </w:t>
      </w:r>
      <w:bookmarkEnd w:id="9"/>
      <w:r>
        <w:rPr>
          <w:rFonts w:cs="Calibri" w:cstheme="minorHAnsi"/>
        </w:rPr>
        <w:t xml:space="preserve">Co się dzieje w przypadku gdy status mieszkańca się poprawi np.: znajdzie dobrze płatna pracę? 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Krystyna Walczak: Umowy dot. mieszkań socjalnych są corocznie odnawiane po weryfikacji przychodów. 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W przypadku mieszkań komunalnych poprawa sytuacji materialnej nie wpływa bezpośrednio na rozwiązanie umowy. 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>Łukasz Budzyński: Jakie są przychody z mieszkań oraz % zalegania z płatnościami?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>Dariusz Springer: Przychody za rok 2024 wyniosły: Naliczone kwoty to 1mln 112 tyś wpłacono 1 mln 38 tyś. co stanowi ponad 93%.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>Łukasz Budzyński: Co się dzieje z resztą? - w jaki sposób BMK zabiega o wywiązywanie się obowiązku uregulowania należności?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>Dariusz Springer: w 2024 roku oddaliśmy 10 spraw do sądu. Zanim to nastąpi wzywamy na rozmowy, ponaglamy dłużników.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>Konrad Dominiak: Czy nie płacenie w terminie może skutkować eksmisją?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>Dariusz Springer: Tak to prawda pod warunkiem 3 miesięcznych zaległości istnieje możliwość uruchomienia takiej procedury.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bookmarkStart w:id="10" w:name="_Hlk188950908"/>
      <w:r>
        <w:rPr>
          <w:rFonts w:cs="Calibri" w:cstheme="minorHAnsi"/>
        </w:rPr>
        <w:t xml:space="preserve">Konrad Dominiak: </w:t>
      </w:r>
      <w:bookmarkEnd w:id="10"/>
      <w:r>
        <w:rPr>
          <w:rFonts w:cs="Calibri" w:cstheme="minorHAnsi"/>
        </w:rPr>
        <w:t>Czy w 2024 r. był taki przypadek?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Krystyna Walczak: W ostatnim czasie podjęliśmy jedno takie działanie. 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>Konrad Dominiak: Ile osób zatrudnia BMK ?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Dariusz Springer: 16 osób przy ok 14 etatach. 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>Łukasz Budzyński: Na co przeznaczane są przychody BMK?</w:t>
      </w:r>
    </w:p>
    <w:p>
      <w:pPr>
        <w:pStyle w:val="Normal"/>
        <w:ind w:left="708" w:hanging="0"/>
        <w:jc w:val="both"/>
        <w:rPr>
          <w:rFonts w:cs="Calibri" w:cstheme="minorHAnsi"/>
        </w:rPr>
      </w:pPr>
      <w:r>
        <w:rPr>
          <w:rFonts w:cs="Calibri" w:cstheme="minorHAnsi"/>
        </w:rPr>
        <w:t>Dariusz Springer: Wynagrodzenia, porady prawne przed procesowe, oprogramowanie, abonamenty, media.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Konrad Dominiak: Jakie są przychody ze zlewni ?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Dariusz Springer: Umowa z Aquanetem 305 tyś netto oraz pobieramy środki od wozaków za 1m3 zrzutu - w roku 2024 było to 354 tyś. Dało nam to odliczając koszty zysk w kwocie 268zł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Czy pracownicy wykonujący na zlewni zaliczani są do wspomnianych 16 etatów ogółem ?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Dariusz Springer: tak 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Łukasz Budzyński: Jakie są przychody z działalności cmentarza komunalnego?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Dariusz Springer: Nadwyżka dochodów nad kosztami wynosi 13 tyś. 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Konrad Dominiak: Proszę o omówienie wydatków oraz z jakiej działalności cmentarz ma dochody?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Dariusz Springer: Dochody są to tzw. opłaty cmentarne zawierające m.in. opiekę i konserwacje, pobierana jest ona od dysponenta grobu. Dodatkowo ponosi się też opłaty za wykorzystanie z chodni na zwłoki. 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Andrzej Okupniak: Jaki jest cennik za wykorzystania chodni na dobę?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Dariusz Springer: Między 20 a 30 zł 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Andrzej Okupniak: Czy ta kwota wystarcza na pełną obsługę tej chłodni? Czy to się bilansuje ? 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Dariusz Springer: Niska stawka wynika z braku zatrudnienia jakiegokolwiek pracownika. Drobne usługi wykonuje na miejscu firma pogrzebowa na podstawie umowy.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Elżbieta Zapłata-Szwedziak: Jakie są opłaty za wywóz odpadów i kto za to płaci.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Dariusz Springer: Bezpośrednio my za to płacimy. 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Paweł Wolniewicz: Czy na cmentarzu mogą być pochowani mieszkańcy innych gmin?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Dariusz Springer: Tak.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Paweł Wolniewicz: Czy stawka dla wszystkich jest taka sama?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Dariusz Springer: Tak, różnicowanie w tym zakresie jest niezgodne prawem. 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Konrad Dominiak: ile jest obecnie miejsc dostępnych?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Dariusz Springer ok. 700 miejsc. 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Elżbieta Zapłata-Szwedziak: Czy wynajem kopiarki jest opłacalne? Dlaczego KMB nie zakupi kopiarki na własność?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Dariusz Springer: Przy naszej eksploatacji, po zasięgnięciu opinii pracowników dot. np. wymiany tonerów te rozwiązanie wydaje się być najlepsze. 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numPr>
          <w:ilvl w:val="0"/>
          <w:numId w:val="2"/>
        </w:numPr>
        <w:jc w:val="both"/>
        <w:rPr>
          <w:rFonts w:cs="Calibri" w:cstheme="minorHAnsi"/>
        </w:rPr>
      </w:pPr>
      <w:r>
        <w:rPr>
          <w:rFonts w:cs="Calibri" w:cstheme="minorHAnsi"/>
          <w:u w:val="single"/>
        </w:rPr>
        <w:t xml:space="preserve">Wnioski, zalecenia, rekomendacje Komisji Rewizyjnej – do Pani Henryki Grygier Dyrektora Głównego BMK. </w:t>
      </w:r>
    </w:p>
    <w:p>
      <w:pPr>
        <w:pStyle w:val="ListParagraph"/>
        <w:numPr>
          <w:ilvl w:val="0"/>
          <w:numId w:val="4"/>
        </w:numPr>
        <w:jc w:val="both"/>
        <w:rPr>
          <w:rFonts w:cs="Calibri" w:cstheme="minorHAnsi"/>
        </w:rPr>
      </w:pPr>
      <w:r>
        <w:rPr>
          <w:rFonts w:cs="Calibri" w:cstheme="minorHAnsi"/>
        </w:rPr>
        <w:t>Analiza możliwości umniejszenia opłat za wywóz odpadów a także weryfikacja aktualnych potrzeb jednostki w zakresie gospodarki odpadami – ilość pojemników, częstotliwość wywozu</w:t>
      </w:r>
    </w:p>
    <w:p>
      <w:pPr>
        <w:pStyle w:val="ListParagraph"/>
        <w:numPr>
          <w:ilvl w:val="0"/>
          <w:numId w:val="4"/>
        </w:numPr>
        <w:jc w:val="both"/>
        <w:rPr>
          <w:rFonts w:cs="Calibri" w:cstheme="minorHAnsi"/>
        </w:rPr>
      </w:pPr>
      <w:r>
        <w:rPr>
          <w:rFonts w:cs="Calibri" w:cstheme="minorHAnsi"/>
        </w:rPr>
        <w:t>Dokonanie analizy rentowności obsługi chłodni na cmentarzu komunalnym, uaktualnianie cennika, przedstawienie dokładnego cennika, kiedy była ostatnia waloryzacja?</w:t>
      </w:r>
    </w:p>
    <w:p>
      <w:pPr>
        <w:pStyle w:val="ListParagraph"/>
        <w:numPr>
          <w:ilvl w:val="0"/>
          <w:numId w:val="4"/>
        </w:numPr>
        <w:jc w:val="both"/>
        <w:rPr>
          <w:rFonts w:cs="Calibri" w:cstheme="minorHAnsi"/>
        </w:rPr>
      </w:pPr>
      <w:r>
        <w:rPr>
          <w:rFonts w:cs="Calibri" w:cstheme="minorHAnsi"/>
        </w:rPr>
        <w:t>Przedstawienie osobnych przychodów z chłodni.</w:t>
      </w:r>
    </w:p>
    <w:p>
      <w:pPr>
        <w:pStyle w:val="ListParagraph"/>
        <w:ind w:left="1080" w:hanging="0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numPr>
          <w:ilvl w:val="0"/>
          <w:numId w:val="2"/>
        </w:numPr>
        <w:jc w:val="both"/>
        <w:rPr>
          <w:rFonts w:cs="Calibri" w:cstheme="minorHAnsi"/>
          <w:u w:val="single"/>
        </w:rPr>
      </w:pPr>
      <w:bookmarkStart w:id="11" w:name="_Hlk178760311"/>
      <w:r>
        <w:rPr>
          <w:rFonts w:cs="Calibri" w:cstheme="minorHAnsi"/>
          <w:u w:val="single"/>
        </w:rPr>
        <w:t>Przyjęcie protokołu 08/2024 z dnia 16 grudnia 2024 r.</w:t>
      </w:r>
      <w:bookmarkEnd w:id="11"/>
    </w:p>
    <w:p>
      <w:pPr>
        <w:pStyle w:val="ListParagraph"/>
        <w:jc w:val="both"/>
        <w:rPr>
          <w:rFonts w:cs="Calibri" w:cstheme="minorHAnsi"/>
          <w:u w:val="single"/>
        </w:rPr>
      </w:pPr>
      <w:r>
        <w:rPr>
          <w:rFonts w:cs="Calibri" w:cstheme="minorHAnsi"/>
          <w:u w:val="single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Głosowanie: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Przyjęcie protokołu 08/2024  z dnia 16 grudnia 2024 r.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„</w:t>
      </w:r>
      <w:r>
        <w:rPr>
          <w:rFonts w:cs="Calibri" w:cstheme="minorHAnsi"/>
        </w:rPr>
        <w:t>za” – 6 głosów: Paweł Wolniewicz, Maciej Różański, Elżbieta Zapłata-Szwedziak, Andrzej Okupniak, Konrad Dominiak, Łukasz Budzyński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„</w:t>
      </w:r>
      <w:r>
        <w:rPr>
          <w:rFonts w:cs="Calibri" w:cstheme="minorHAnsi"/>
        </w:rPr>
        <w:t>przeciw” – 0 głosów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>„</w:t>
      </w:r>
      <w:r>
        <w:rPr>
          <w:rFonts w:cs="Calibri" w:cstheme="minorHAnsi"/>
        </w:rPr>
        <w:t>wstrzymało się” – 0 głosów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numPr>
          <w:ilvl w:val="0"/>
          <w:numId w:val="2"/>
        </w:numPr>
        <w:jc w:val="both"/>
        <w:rPr>
          <w:rFonts w:cs="Calibri" w:cstheme="minorHAnsi"/>
          <w:u w:val="single"/>
        </w:rPr>
      </w:pPr>
      <w:r>
        <w:rPr>
          <w:rFonts w:cs="Calibri" w:cstheme="minorHAnsi"/>
          <w:u w:val="single"/>
        </w:rPr>
        <w:t>Wolne głosy i wnioski:</w:t>
      </w:r>
    </w:p>
    <w:p>
      <w:pPr>
        <w:pStyle w:val="ListParagraph"/>
        <w:jc w:val="both"/>
        <w:rPr>
          <w:rFonts w:cs="Calibri" w:cstheme="minorHAnsi"/>
          <w:u w:val="single"/>
        </w:rPr>
      </w:pPr>
      <w:r>
        <w:rPr>
          <w:rFonts w:cs="Calibri" w:cstheme="minorHAnsi"/>
          <w:u w:val="single"/>
        </w:rPr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  <w:t xml:space="preserve">Komisja uzyskała odpowiedzi na zadane pytania w sposób jasny i klarowny. Dane dot. dokładnej stawki za korzystanie z chodni na cmentarzu komunalnym zostaną przesłane Przewodniczącemu Komisji Łukaszowi Budzyńskiemu w formie e mail. </w:t>
      </w:r>
    </w:p>
    <w:p>
      <w:pPr>
        <w:pStyle w:val="ListParagraph"/>
        <w:jc w:val="both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ListParagraph"/>
        <w:jc w:val="both"/>
        <w:rPr>
          <w:rFonts w:cs="Calibri" w:cstheme="minorHAnsi"/>
          <w:u w:val="single"/>
        </w:rPr>
      </w:pPr>
      <w:r>
        <w:rPr>
          <w:rFonts w:cs="Calibri" w:cstheme="minorHAnsi"/>
          <w:u w:val="single"/>
        </w:rPr>
      </w:r>
    </w:p>
    <w:p>
      <w:pPr>
        <w:pStyle w:val="Standard"/>
        <w:spacing w:lineRule="auto" w:line="276"/>
        <w:jc w:val="both"/>
        <w:rPr>
          <w:rFonts w:ascii="Calibri" w:hAnsi="Calibri" w:eastAsia="Tahoma" w:cs="Calibri" w:asciiTheme="minorHAnsi" w:cstheme="minorHAnsi" w:hAnsiTheme="minorHAnsi"/>
          <w:lang w:val="pl-PL"/>
        </w:rPr>
      </w:pPr>
      <w:r>
        <w:rPr>
          <w:rFonts w:eastAsia="Tahoma" w:cs="Calibri" w:ascii="Calibri" w:hAnsi="Calibri" w:asciiTheme="minorHAnsi" w:cstheme="minorHAnsi" w:hAnsiTheme="minorHAnsi"/>
          <w:lang w:val="pl-PL"/>
        </w:rPr>
        <w:t xml:space="preserve">Na tym posiedzenie zakończono. </w:t>
      </w:r>
    </w:p>
    <w:p>
      <w:pPr>
        <w:pStyle w:val="Standard"/>
        <w:spacing w:lineRule="auto" w:line="276"/>
        <w:jc w:val="both"/>
        <w:rPr>
          <w:rFonts w:ascii="Calibri" w:hAnsi="Calibri" w:eastAsia="Tahoma" w:cs="Calibri" w:asciiTheme="minorHAnsi" w:cstheme="minorHAnsi" w:hAnsiTheme="minorHAnsi"/>
          <w:lang w:val="pl-PL"/>
        </w:rPr>
      </w:pPr>
      <w:r>
        <w:rPr>
          <w:rFonts w:eastAsia="Tahoma" w:cs="Calibri" w:cstheme="minorHAnsi" w:ascii="Calibri" w:hAnsi="Calibri"/>
          <w:lang w:val="pl-PL"/>
        </w:rPr>
      </w:r>
    </w:p>
    <w:p>
      <w:pPr>
        <w:pStyle w:val="Standard"/>
        <w:spacing w:lineRule="auto" w:line="276"/>
        <w:jc w:val="both"/>
        <w:rPr>
          <w:rFonts w:ascii="Calibri" w:hAnsi="Calibri" w:eastAsia="Tahoma" w:cs="Calibri" w:asciiTheme="minorHAnsi" w:cstheme="minorHAnsi" w:hAnsiTheme="minorHAnsi"/>
          <w:lang w:val="pl-PL"/>
        </w:rPr>
      </w:pPr>
      <w:r>
        <w:rPr>
          <w:rFonts w:eastAsia="Tahoma" w:cs="Calibri" w:cstheme="minorHAnsi" w:ascii="Calibri" w:hAnsi="Calibri"/>
          <w:lang w:val="pl-PL"/>
        </w:rPr>
      </w:r>
    </w:p>
    <w:p>
      <w:pPr>
        <w:pStyle w:val="Normal"/>
        <w:spacing w:before="0" w:after="0"/>
        <w:rPr>
          <w:rFonts w:eastAsia="Times New Roman" w:cs="Calibri" w:cstheme="minorHAnsi"/>
          <w:sz w:val="24"/>
          <w:szCs w:val="24"/>
          <w:lang w:eastAsia="pl-PL"/>
        </w:rPr>
      </w:pPr>
      <w:r>
        <w:rPr>
          <w:rFonts w:eastAsia="Times New Roman" w:cs="Calibri" w:cstheme="minorHAnsi"/>
          <w:sz w:val="24"/>
          <w:szCs w:val="24"/>
          <w:lang w:eastAsia="pl-PL"/>
        </w:rPr>
        <w:t>Załączniki:</w:t>
      </w:r>
    </w:p>
    <w:p>
      <w:pPr>
        <w:pStyle w:val="Normal"/>
        <w:spacing w:before="0" w:after="0"/>
        <w:rPr>
          <w:rFonts w:eastAsia="Times New Roman" w:cs="Calibri" w:cstheme="minorHAnsi"/>
          <w:sz w:val="24"/>
          <w:szCs w:val="24"/>
          <w:lang w:eastAsia="pl-PL"/>
        </w:rPr>
      </w:pPr>
      <w:r>
        <w:rPr>
          <w:rFonts w:eastAsia="Times New Roman" w:cs="Calibri" w:cstheme="minorHAnsi"/>
          <w:sz w:val="24"/>
          <w:szCs w:val="24"/>
          <w:lang w:eastAsia="pl-PL"/>
        </w:rPr>
      </w:r>
    </w:p>
    <w:p>
      <w:pPr>
        <w:pStyle w:val="Normal"/>
        <w:spacing w:before="0" w:after="0"/>
        <w:rPr>
          <w:rFonts w:eastAsia="Times New Roman" w:cs="Calibri" w:cstheme="minorHAnsi"/>
          <w:sz w:val="24"/>
          <w:szCs w:val="24"/>
          <w:lang w:eastAsia="pl-PL"/>
        </w:rPr>
      </w:pPr>
      <w:r>
        <w:rPr>
          <w:rFonts w:eastAsia="Times New Roman" w:cs="Calibri" w:cstheme="minorHAnsi"/>
          <w:sz w:val="24"/>
          <w:szCs w:val="24"/>
          <w:lang w:eastAsia="pl-PL"/>
        </w:rPr>
        <w:t>1. Zestawienie finansowe poniesionych wydatków przez BMK w zakresie remontów budynków komunalnych w 2024r.</w:t>
      </w:r>
    </w:p>
    <w:p>
      <w:pPr>
        <w:pStyle w:val="Normal"/>
        <w:spacing w:before="0" w:after="0"/>
        <w:rPr>
          <w:rFonts w:eastAsia="Times New Roman" w:cs="Calibri" w:cstheme="minorHAnsi"/>
          <w:sz w:val="24"/>
          <w:szCs w:val="24"/>
          <w:lang w:eastAsia="pl-PL"/>
        </w:rPr>
      </w:pPr>
      <w:r>
        <w:rPr>
          <w:rFonts w:eastAsia="Times New Roman" w:cs="Calibri" w:cstheme="minorHAnsi"/>
          <w:sz w:val="24"/>
          <w:szCs w:val="24"/>
          <w:lang w:eastAsia="pl-PL"/>
        </w:rPr>
        <w:t>2. Wybrane dokumenty księgowe potwierdzające poniesione wydatki</w:t>
      </w:r>
      <w:r>
        <w:rPr>
          <w:rFonts w:cs="Calibri" w:cstheme="minorHAnsi"/>
        </w:rPr>
        <w:t xml:space="preserve"> BMK w zakresie gospodarki odpadami w</w:t>
      </w:r>
      <w:r>
        <w:rPr>
          <w:rFonts w:eastAsia="Times New Roman" w:cs="Calibri" w:cstheme="minorHAnsi"/>
          <w:sz w:val="24"/>
          <w:szCs w:val="24"/>
          <w:lang w:eastAsia="pl-PL"/>
        </w:rPr>
        <w:t xml:space="preserve"> 2024 roku.</w:t>
      </w:r>
    </w:p>
    <w:p>
      <w:pPr>
        <w:pStyle w:val="Normal"/>
        <w:spacing w:before="0" w:after="0"/>
        <w:rPr>
          <w:rFonts w:eastAsia="Times New Roman" w:cs="Calibri" w:cstheme="minorHAnsi"/>
          <w:sz w:val="24"/>
          <w:szCs w:val="24"/>
          <w:lang w:eastAsia="pl-PL"/>
        </w:rPr>
      </w:pPr>
      <w:r>
        <w:rPr>
          <w:rFonts w:eastAsia="Times New Roman" w:cs="Calibri" w:cstheme="minorHAnsi"/>
          <w:sz w:val="24"/>
          <w:szCs w:val="24"/>
          <w:lang w:eastAsia="pl-PL"/>
        </w:rPr>
      </w:r>
    </w:p>
    <w:p>
      <w:pPr>
        <w:pStyle w:val="Normal"/>
        <w:spacing w:before="0" w:after="0"/>
        <w:rPr>
          <w:rFonts w:eastAsia="Times New Roman" w:cs="Calibri" w:cstheme="minorHAnsi"/>
          <w:sz w:val="24"/>
          <w:szCs w:val="24"/>
          <w:lang w:eastAsia="pl-PL"/>
        </w:rPr>
      </w:pPr>
      <w:r>
        <w:rPr>
          <w:rFonts w:eastAsia="Times New Roman" w:cs="Calibri" w:cstheme="minorHAnsi"/>
          <w:sz w:val="24"/>
          <w:szCs w:val="24"/>
          <w:lang w:eastAsia="pl-PL"/>
        </w:rPr>
      </w:r>
    </w:p>
    <w:p>
      <w:pPr>
        <w:pStyle w:val="Standard"/>
        <w:spacing w:lineRule="auto" w:line="276"/>
        <w:jc w:val="both"/>
        <w:rPr>
          <w:rFonts w:ascii="Calibri" w:hAnsi="Calibri" w:eastAsia="Tahoma" w:cs="Calibri" w:asciiTheme="minorHAnsi" w:cstheme="minorHAnsi" w:hAnsiTheme="minorHAnsi"/>
          <w:sz w:val="22"/>
          <w:szCs w:val="22"/>
          <w:lang w:val="pl-PL"/>
        </w:rPr>
      </w:pPr>
      <w:r>
        <w:rPr>
          <w:rFonts w:eastAsia="Tahoma" w:cs="Calibri" w:cstheme="minorHAnsi" w:ascii="Calibri" w:hAnsi="Calibri"/>
          <w:sz w:val="22"/>
          <w:szCs w:val="22"/>
          <w:lang w:val="pl-PL"/>
        </w:rPr>
      </w:r>
    </w:p>
    <w:p>
      <w:pPr>
        <w:pStyle w:val="Standard"/>
        <w:spacing w:lineRule="auto" w:line="276"/>
        <w:jc w:val="both"/>
        <w:rPr>
          <w:rFonts w:ascii="Calibri" w:hAnsi="Calibri" w:eastAsia="Tahoma" w:cs="Calibri" w:asciiTheme="minorHAnsi" w:cstheme="minorHAnsi" w:hAnsiTheme="minorHAnsi"/>
          <w:sz w:val="22"/>
          <w:szCs w:val="22"/>
          <w:lang w:val="pl-PL"/>
        </w:rPr>
      </w:pPr>
      <w:r>
        <w:rPr>
          <w:rFonts w:eastAsia="Tahoma" w:cs="Calibri" w:ascii="Calibri" w:hAnsi="Calibri" w:asciiTheme="minorHAnsi" w:cstheme="minorHAnsi" w:hAnsiTheme="minorHAnsi"/>
          <w:sz w:val="22"/>
          <w:szCs w:val="22"/>
          <w:lang w:val="pl-PL"/>
        </w:rPr>
        <w:t>……………………………………………………</w:t>
      </w:r>
      <w:r>
        <w:rPr>
          <w:rFonts w:eastAsia="Tahoma" w:cs="Calibri" w:ascii="Calibri" w:hAnsi="Calibri" w:asciiTheme="minorHAnsi" w:cstheme="minorHAnsi" w:hAnsiTheme="minorHAnsi"/>
          <w:sz w:val="22"/>
          <w:szCs w:val="22"/>
          <w:lang w:val="pl-PL"/>
        </w:rPr>
        <w:t>..</w:t>
        <w:tab/>
        <w:tab/>
        <w:tab/>
        <w:tab/>
        <w:tab/>
        <w:t>……………………………………………</w:t>
      </w:r>
    </w:p>
    <w:p>
      <w:pPr>
        <w:pStyle w:val="Standard"/>
        <w:spacing w:lineRule="auto" w:line="276"/>
        <w:jc w:val="both"/>
        <w:rPr>
          <w:rFonts w:ascii="Calibri" w:hAnsi="Calibri" w:eastAsia="Tahoma" w:cs="Calibri" w:asciiTheme="minorHAnsi" w:cstheme="minorHAnsi" w:hAnsiTheme="minorHAnsi"/>
          <w:sz w:val="22"/>
          <w:szCs w:val="22"/>
          <w:lang w:val="pl-PL"/>
        </w:rPr>
      </w:pPr>
      <w:r>
        <w:rPr>
          <w:rFonts w:eastAsia="Tahoma" w:cs="Calibri" w:ascii="Calibri" w:hAnsi="Calibri" w:asciiTheme="minorHAnsi" w:cstheme="minorHAnsi" w:hAnsiTheme="minorHAnsi"/>
          <w:sz w:val="22"/>
          <w:szCs w:val="22"/>
          <w:lang w:val="pl-PL"/>
        </w:rPr>
        <w:t xml:space="preserve">Przewodniczący Komisji Rewizyjnej </w:t>
        <w:tab/>
        <w:tab/>
        <w:tab/>
        <w:tab/>
        <w:tab/>
        <w:t>Sekretarz Komisji Rewizyjnej</w:t>
      </w:r>
    </w:p>
    <w:p>
      <w:pPr>
        <w:pStyle w:val="Standard"/>
        <w:spacing w:lineRule="auto" w:line="276"/>
        <w:ind w:firstLine="708"/>
        <w:jc w:val="both"/>
        <w:rPr>
          <w:rFonts w:ascii="Calibri" w:hAnsi="Calibri" w:eastAsia="Tahoma" w:cs="Calibri" w:asciiTheme="minorHAnsi" w:cstheme="minorHAnsi" w:hAnsiTheme="minorHAnsi"/>
          <w:sz w:val="22"/>
          <w:szCs w:val="22"/>
          <w:lang w:val="pl-PL"/>
        </w:rPr>
      </w:pPr>
      <w:r>
        <w:rPr>
          <w:rFonts w:eastAsia="Tahoma" w:cs="Calibri" w:ascii="Calibri" w:hAnsi="Calibri" w:asciiTheme="minorHAnsi" w:cstheme="minorHAnsi" w:hAnsiTheme="minorHAnsi"/>
          <w:sz w:val="22"/>
          <w:szCs w:val="22"/>
          <w:lang w:val="pl-PL"/>
        </w:rPr>
        <w:t>Łukasz Budzyński</w:t>
        <w:tab/>
        <w:tab/>
        <w:tab/>
        <w:tab/>
        <w:tab/>
        <w:tab/>
        <w:t xml:space="preserve">         Konrad Dominiak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8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739c4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kocowegoZnak" w:customStyle="1">
    <w:name w:val="Tekst przypisu końcowego Znak"/>
    <w:basedOn w:val="DefaultParagraphFont"/>
    <w:uiPriority w:val="99"/>
    <w:semiHidden/>
    <w:qFormat/>
    <w:rsid w:val="00ea3b5c"/>
    <w:rPr>
      <w:sz w:val="20"/>
      <w:szCs w:val="20"/>
    </w:rPr>
  </w:style>
  <w:style w:type="character" w:styleId="Znakiprzypiswkocowych">
    <w:name w:val="Znaki przypisów końcowych"/>
    <w:basedOn w:val="DefaultParagraphFont"/>
    <w:uiPriority w:val="99"/>
    <w:semiHidden/>
    <w:unhideWhenUsed/>
    <w:qFormat/>
    <w:rsid w:val="00ea3b5c"/>
    <w:rPr>
      <w:vertAlign w:val="superscript"/>
    </w:rPr>
  </w:style>
  <w:style w:type="character" w:styleId="Zakotwiczenieprzypisukocowego">
    <w:name w:val="Endnote Reference"/>
    <w:rPr>
      <w:vertAlign w:val="superscript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Standard" w:customStyle="1">
    <w:name w:val="Standard"/>
    <w:qFormat/>
    <w:rsid w:val="00783291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Andale Sans UI" w:cs="Tahoma"/>
      <w:color w:val="auto"/>
      <w:kern w:val="2"/>
      <w:sz w:val="24"/>
      <w:szCs w:val="24"/>
      <w:lang w:val="de-DE" w:eastAsia="ja-JP" w:bidi="fa-IR"/>
    </w:rPr>
  </w:style>
  <w:style w:type="paragraph" w:styleId="ListParagraph">
    <w:name w:val="List Paragraph"/>
    <w:basedOn w:val="Normal"/>
    <w:uiPriority w:val="34"/>
    <w:qFormat/>
    <w:rsid w:val="00783291"/>
    <w:pPr>
      <w:spacing w:before="0" w:after="200"/>
      <w:ind w:left="720" w:hanging="0"/>
      <w:contextualSpacing/>
    </w:pPr>
    <w:rPr/>
  </w:style>
  <w:style w:type="paragraph" w:styleId="Przypiskocowy">
    <w:name w:val="Endnote Text"/>
    <w:basedOn w:val="Normal"/>
    <w:link w:val="TekstprzypisukocowegoZnak"/>
    <w:uiPriority w:val="99"/>
    <w:semiHidden/>
    <w:unhideWhenUsed/>
    <w:rsid w:val="00ea3b5c"/>
    <w:pPr>
      <w:spacing w:lineRule="auto" w:line="240" w:before="0" w:after="0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Application>LibreOffice/7.5.4.2$Windows_X86_64 LibreOffice_project/36ccfdc35048b057fd9854c757a8b67ec53977b6</Application>
  <AppVersion>15.0000</AppVersion>
  <Pages>7</Pages>
  <Words>1109</Words>
  <Characters>6953</Characters>
  <CharactersWithSpaces>8007</CharactersWithSpaces>
  <Paragraphs>91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2025-01-17T10:36:00Z</dcterms:created>
  <dc:creator>Uzytkownik</dc:creator>
  <dc:description/>
  <dc:language>pl-PL</dc:language>
  <cp:lastModifiedBy>konrad.dominiak@outlook.com</cp:lastModifiedBy>
  <cp:lastPrinted>2025-02-28T08:30:00Z</cp:lastPrinted>
  <dcterms:modified xsi:type="dcterms:W3CDTF">2025-02-28T08:32:00Z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