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smallCaps/>
        </w:rPr>
      </w:pPr>
      <w:r>
        <w:rPr>
          <w:rFonts w:ascii="Verdana" w:hAnsi="Verdana"/>
          <w:smallCaps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08666737">
                <wp:simplePos x="0" y="0"/>
                <wp:positionH relativeFrom="column">
                  <wp:posOffset>3143885</wp:posOffset>
                </wp:positionH>
                <wp:positionV relativeFrom="paragraph">
                  <wp:posOffset>111760</wp:posOffset>
                </wp:positionV>
                <wp:extent cx="2843530" cy="1330325"/>
                <wp:effectExtent l="0" t="0" r="0" b="0"/>
                <wp:wrapNone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3640" cy="1330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Kształt1" path="m0,0l-2147483645,0l-2147483645,-2147483646l0,-2147483646xe" stroked="f" o:allowincell="f" style="position:absolute;margin-left:247.55pt;margin-top:8.8pt;width:223.85pt;height:104.7pt;mso-wrap-style:none;v-text-anchor:middle" wp14:anchorId="08666737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</w:p>
    <w:p>
      <w:pPr>
        <w:pStyle w:val="Normal"/>
        <w:jc w:val="right"/>
        <w:rPr>
          <w:rFonts w:ascii="Verdana" w:hAnsi="Verdana"/>
          <w:i/>
          <w:i/>
          <w:iCs/>
          <w:sz w:val="16"/>
          <w:szCs w:val="16"/>
        </w:rPr>
      </w:pPr>
      <w:r>
        <w:rPr>
          <w:rFonts w:ascii="Verdana" w:hAnsi="Verdana"/>
          <w:i/>
          <w:iCs/>
          <w:sz w:val="16"/>
          <w:szCs w:val="16"/>
        </w:rPr>
        <w:t>Załącznik nr 4 do zapytania ofertowego</w:t>
      </w:r>
    </w:p>
    <w:p>
      <w:pPr>
        <w:pStyle w:val="Normal"/>
        <w:jc w:val="righ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right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center"/>
        <w:rPr>
          <w:b/>
          <w:bCs/>
        </w:rPr>
      </w:pPr>
      <w:r>
        <w:rPr>
          <w:rFonts w:ascii="Verdana" w:hAnsi="Verdana"/>
          <w:b/>
          <w:bCs/>
        </w:rPr>
        <w:t>FUNKCJONALNOŚĆ PLATFORMY. Wykonawca oferuje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tbl>
      <w:tblPr>
        <w:tblW w:w="8956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1" w:noVBand="1" w:lastRow="0" w:firstColumn="1" w:lastColumn="0" w:noHBand="0" w:val="04a0"/>
      </w:tblPr>
      <w:tblGrid>
        <w:gridCol w:w="7031"/>
        <w:gridCol w:w="1924"/>
      </w:tblGrid>
      <w:tr>
        <w:trPr/>
        <w:tc>
          <w:tcPr>
            <w:tcW w:w="8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Platformę działającą poprzez bezpośrednie połączenie z przeglądarką internetową, umożliwiającą zarządzanie budżetem obywatelskim przez Zamawiającego, komunikację elektroniczną z użytkownikami wraz z przeprowadzeniem szkolenia dla pracowników Zamawiającego.</w:t>
            </w:r>
          </w:p>
        </w:tc>
      </w:tr>
      <w:tr>
        <w:trPr/>
        <w:tc>
          <w:tcPr>
            <w:tcW w:w="70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retekstu"/>
              <w:widowControl w:val="false"/>
              <w:tabs>
                <w:tab w:val="clear" w:pos="709"/>
                <w:tab w:val="left" w:pos="707" w:leader="none"/>
              </w:tabs>
              <w:spacing w:before="0" w:after="150"/>
              <w:ind w:left="707" w:hanging="0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tabs>
                <w:tab w:val="clear" w:pos="709"/>
                <w:tab w:val="left" w:pos="707" w:leader="none"/>
              </w:tabs>
              <w:spacing w:before="0" w:after="150"/>
              <w:ind w:left="707" w:hanging="0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tak/nie</w:t>
            </w:r>
          </w:p>
        </w:tc>
      </w:tr>
      <w:tr>
        <w:trPr/>
        <w:tc>
          <w:tcPr>
            <w:tcW w:w="70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retekstu"/>
              <w:widowControl w:val="false"/>
              <w:tabs>
                <w:tab w:val="clear" w:pos="709"/>
                <w:tab w:val="left" w:pos="707" w:leader="none"/>
              </w:tabs>
              <w:spacing w:before="0" w:after="150"/>
              <w:ind w:left="707" w:hanging="0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  <w:t>Moduł strony www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tabs>
                <w:tab w:val="clear" w:pos="709"/>
                <w:tab w:val="left" w:pos="707" w:leader="none"/>
              </w:tabs>
              <w:spacing w:before="0" w:after="150"/>
              <w:ind w:left="707" w:hanging="0"/>
              <w:rPr>
                <w:rFonts w:ascii="Verdana" w:hAnsi="Verdana"/>
                <w:b/>
                <w:bCs/>
                <w:color w:val="000000"/>
              </w:rPr>
            </w:pPr>
            <w:r>
              <w:rPr>
                <w:rFonts w:ascii="Verdana" w:hAnsi="Verdana"/>
                <w:b/>
                <w:bCs/>
                <w:color w:val="000000"/>
              </w:rPr>
            </w:r>
          </w:p>
        </w:tc>
      </w:tr>
      <w:tr>
        <w:trPr/>
        <w:tc>
          <w:tcPr>
            <w:tcW w:w="70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Strona  będzie  dostępna w Internecie przez cały okres umowy poprzez wszystkie standardowe przeglądarki internetowe oraz będzie skalowalna do poprawnego wyświetlania na ekranach różnych urządzeń: komputerów PC, tabletów, smartfonów.</w:t>
            </w:r>
          </w:p>
          <w:p>
            <w:pPr>
              <w:pStyle w:val="Normal"/>
              <w:widowControl w:val="false"/>
              <w:ind w:left="720" w:hanging="0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left="720" w:hanging="0"/>
              <w:rPr/>
            </w:pPr>
            <w:r>
              <w:rPr>
                <w:rFonts w:ascii="Verdana" w:hAnsi="Verdana"/>
              </w:rPr>
              <w:t>Niezalogowany użytkownik będzie mieć możliwość za jej pośrednictwem:</w:t>
            </w:r>
          </w:p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27"/>
              <w:rPr/>
            </w:pPr>
            <w:r>
              <w:rPr>
                <w:rFonts w:ascii="Verdana" w:hAnsi="Verdana"/>
              </w:rPr>
              <w:t>zapoznania się z projektami złożonymi do BO, przeglądania ich na mapie,</w:t>
            </w:r>
          </w:p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2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wywołania szczegółów danego projektu oraz informacji o przebiegu weryfikacji,</w:t>
            </w:r>
          </w:p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2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zapoznania się z podstawowymi informacjami dotyczącymi BO zgodnie z Regulaminem/Zarządzeniem,</w:t>
            </w:r>
          </w:p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2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zapoznanie się z aktualnościami,</w:t>
            </w:r>
          </w:p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2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przeglądania wyników głosowania,</w:t>
            </w:r>
          </w:p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2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zapoznania się z mapą realizacji.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720"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0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spacing w:before="0" w:after="32"/>
              <w:rPr>
                <w:rFonts w:ascii="Arial" w:hAnsi="Arial"/>
                <w:b/>
                <w:bCs/>
                <w:color w:val="auto"/>
              </w:rPr>
            </w:pPr>
            <w:r>
              <w:rPr>
                <w:rFonts w:eastAsia="Times New Roman" w:ascii="Arial" w:hAnsi="Arial"/>
                <w:b/>
                <w:bCs/>
                <w:color w:val="auto"/>
              </w:rPr>
              <w:t xml:space="preserve">       </w:t>
            </w:r>
            <w:r>
              <w:rPr>
                <w:rFonts w:eastAsia="Times New Roman" w:ascii="Arial" w:hAnsi="Arial"/>
                <w:b/>
                <w:bCs/>
                <w:color w:val="auto"/>
              </w:rPr>
              <w:t xml:space="preserve">Moduł zbierania propozycji zadań/projektów </w:t>
            </w:r>
            <w:r>
              <w:rPr>
                <w:rFonts w:ascii="Verdana" w:hAnsi="Verdana"/>
                <w:b/>
                <w:bCs/>
                <w:color w:val="auto"/>
              </w:rPr>
              <w:t>– logowanie do systemu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32"/>
              <w:rPr>
                <w:rFonts w:ascii="Arial" w:hAnsi="Arial"/>
                <w:b/>
                <w:bCs/>
                <w:color w:val="auto"/>
              </w:rPr>
            </w:pPr>
            <w:r>
              <w:rPr>
                <w:rFonts w:ascii="Arial" w:hAnsi="Arial"/>
                <w:b/>
                <w:bCs/>
                <w:color w:val="auto"/>
              </w:rPr>
            </w:r>
          </w:p>
        </w:tc>
      </w:tr>
      <w:tr>
        <w:trPr/>
        <w:tc>
          <w:tcPr>
            <w:tcW w:w="70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"/>
              </w:numPr>
              <w:spacing w:before="0" w:after="32"/>
              <w:rPr/>
            </w:pPr>
            <w:r>
              <w:rPr>
                <w:rFonts w:ascii="Verdana" w:hAnsi="Verdana"/>
              </w:rPr>
              <w:t>Umożliwia założenie konta przez mieszkańca w systemie, zawierającego zestaw danych uzgodniony z Zamawiającym (m. in. login, imię i nazwisko, adres e-mail, zgoda na przetwarzanie danych osobowych, hasło do logowania). Potwierdzenie założenia konta przez użytkownika za pomocą linku weryfikacyjnego.</w:t>
            </w:r>
          </w:p>
          <w:p>
            <w:pPr>
              <w:pStyle w:val="Tretekstu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7" w:leader="none"/>
              </w:tabs>
              <w:spacing w:before="0" w:after="150"/>
              <w:rPr>
                <w:rFonts w:ascii="Verdana" w:hAnsi="Verdana"/>
                <w:color w:val="333333"/>
              </w:rPr>
            </w:pPr>
            <w:r>
              <w:rPr>
                <w:rFonts w:ascii="Verdana" w:hAnsi="Verdana"/>
                <w:color w:val="333333"/>
              </w:rPr>
              <w:t>Umożliwia elektroniczne składanie wniosków za pomocą dedykowanych formularzy (wraz z weryfikacją poprawności czy obligatoryjności wymaganych pól formularza);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7" w:leader="none"/>
              </w:tabs>
              <w:spacing w:before="0" w:after="32"/>
              <w:ind w:left="707" w:hang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możliwość importowania przez użytkowników do systemu zdjęć i załączników – plików w formatach .pdf, .jpeg, .jpg, .png.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7" w:leader="none"/>
              </w:tabs>
              <w:spacing w:before="0" w:after="32"/>
              <w:ind w:left="707" w:hang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możliwość zapisywania wersji roboczej projektu  i powrotu do jego wypełnienia z poziomu panelu obsługi konta użytkownika.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7" w:leader="none"/>
              </w:tabs>
              <w:spacing w:before="0" w:after="32"/>
              <w:ind w:left="707" w:hang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automatyczne nadawanie złożonemu projektowi przez system numeru ID i statusu „Projekt złożony” oraz zapis dokładnego czasu złożenia projektu.</w:t>
            </w:r>
          </w:p>
          <w:p>
            <w:pPr>
              <w:pStyle w:val="Defaul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707" w:leader="none"/>
              </w:tabs>
              <w:spacing w:before="0" w:after="32"/>
              <w:ind w:left="707" w:hang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umożliwia zbieranie i dołączenie do wniosku elektronicznej listy poparcia </w:t>
            </w:r>
          </w:p>
          <w:p>
            <w:pPr>
              <w:pStyle w:val="Default"/>
              <w:widowControl w:val="false"/>
              <w:spacing w:before="0" w:after="32"/>
              <w:ind w:left="707" w:hanging="0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32"/>
              <w:rPr/>
            </w:pPr>
            <w:r>
              <w:rPr/>
            </w:r>
          </w:p>
        </w:tc>
      </w:tr>
      <w:tr>
        <w:trPr/>
        <w:tc>
          <w:tcPr>
            <w:tcW w:w="70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retekstu"/>
              <w:widowControl w:val="false"/>
              <w:tabs>
                <w:tab w:val="clear" w:pos="709"/>
                <w:tab w:val="left" w:pos="707" w:leader="none"/>
              </w:tabs>
              <w:spacing w:before="0" w:after="150"/>
              <w:ind w:left="707" w:hanging="0"/>
              <w:rPr>
                <w:rFonts w:ascii="Verdana" w:hAnsi="Verdana"/>
                <w:b/>
                <w:bCs/>
                <w:color w:val="333333"/>
              </w:rPr>
            </w:pPr>
            <w:r>
              <w:rPr>
                <w:rFonts w:ascii="Verdana" w:hAnsi="Verdana"/>
                <w:b/>
                <w:bCs/>
                <w:color w:val="333333"/>
              </w:rPr>
              <w:t>Moduł obsługi/oceny wniosków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tabs>
                <w:tab w:val="clear" w:pos="709"/>
                <w:tab w:val="left" w:pos="707" w:leader="none"/>
              </w:tabs>
              <w:spacing w:before="0" w:after="150"/>
              <w:ind w:left="707" w:hanging="0"/>
              <w:rPr>
                <w:rFonts w:ascii="Verdana" w:hAnsi="Verdana"/>
                <w:b/>
                <w:bCs/>
                <w:color w:val="333333"/>
              </w:rPr>
            </w:pPr>
            <w:r>
              <w:rPr>
                <w:rFonts w:ascii="Verdana" w:hAnsi="Verdana"/>
                <w:b/>
                <w:bCs/>
                <w:color w:val="333333"/>
              </w:rPr>
            </w:r>
          </w:p>
        </w:tc>
      </w:tr>
      <w:tr>
        <w:trPr/>
        <w:tc>
          <w:tcPr>
            <w:tcW w:w="70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retekstu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7" w:leader="none"/>
              </w:tabs>
              <w:spacing w:before="0" w:after="150"/>
              <w:rPr>
                <w:rFonts w:ascii="Verdana" w:hAnsi="Verdana"/>
              </w:rPr>
            </w:pPr>
            <w:r>
              <w:rPr>
                <w:rFonts w:ascii="Verdana" w:hAnsi="Verdana"/>
                <w:color w:val="333333"/>
              </w:rPr>
              <w:t xml:space="preserve">umożliwia przeprowadzenie oceny formalnej oraz oceny merytorycznej poprzez wprowadzone do systemu karty oceny – szablon karty wskazany przez Zamawiającego  </w:t>
            </w:r>
          </w:p>
          <w:p>
            <w:pPr>
              <w:pStyle w:val="Tretekstu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7" w:leader="none"/>
              </w:tabs>
              <w:spacing w:before="0" w:after="150"/>
              <w:rPr>
                <w:rFonts w:ascii="Verdana" w:hAnsi="Verdana"/>
              </w:rPr>
            </w:pPr>
            <w:r>
              <w:rPr>
                <w:rFonts w:ascii="Verdana" w:hAnsi="Verdana"/>
                <w:color w:val="333333"/>
              </w:rPr>
              <w:t>dekretowanie wniosków na wydziały, referaty czy dowolnie definiowane grupy osób oceniających;</w:t>
            </w:r>
          </w:p>
          <w:p>
            <w:pPr>
              <w:pStyle w:val="Tretekstu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7" w:leader="none"/>
              </w:tabs>
              <w:spacing w:before="0" w:after="150"/>
              <w:rPr>
                <w:rFonts w:ascii="Verdana" w:hAnsi="Verdana"/>
              </w:rPr>
            </w:pPr>
            <w:r>
              <w:rPr>
                <w:rFonts w:ascii="Verdana" w:hAnsi="Verdana"/>
                <w:color w:val="333333"/>
              </w:rPr>
              <w:t>rejestr zmian statusów wniosków;</w:t>
            </w:r>
          </w:p>
          <w:p>
            <w:pPr>
              <w:pStyle w:val="Tretekstu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7" w:leader="none"/>
              </w:tabs>
              <w:spacing w:before="0" w:after="150"/>
              <w:rPr>
                <w:rFonts w:ascii="Verdana" w:hAnsi="Verdana"/>
              </w:rPr>
            </w:pPr>
            <w:r>
              <w:rPr>
                <w:rFonts w:ascii="Verdana" w:hAnsi="Verdana"/>
                <w:color w:val="333333"/>
              </w:rPr>
              <w:t>możliwość odesłania wniosku do poprawy przez Wnioskodawcę;</w:t>
            </w:r>
          </w:p>
          <w:p>
            <w:pPr>
              <w:pStyle w:val="Tretekstu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7" w:leader="none"/>
              </w:tabs>
              <w:spacing w:before="0" w:after="150"/>
              <w:rPr>
                <w:rFonts w:ascii="Verdana" w:hAnsi="Verdana"/>
              </w:rPr>
            </w:pPr>
            <w:r>
              <w:rPr>
                <w:rFonts w:ascii="Verdana" w:hAnsi="Verdana"/>
                <w:color w:val="000000"/>
              </w:rPr>
              <w:t>generowanie i drukowanie przez upoważnionego operatora lub administratora raportów opisujących proces opiniowania poszczególnych lub wszystkich zgłoszeń zadań;</w:t>
            </w:r>
          </w:p>
          <w:p>
            <w:pPr>
              <w:pStyle w:val="Defaul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7" w:leader="none"/>
              </w:tabs>
              <w:spacing w:before="0" w:after="32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umożliwienie przeprowadzenie poprzez system procedury odwołań od wyników weryfikacji;</w:t>
            </w:r>
          </w:p>
          <w:p>
            <w:pPr>
              <w:pStyle w:val="Default"/>
              <w:widowControl w:val="false"/>
              <w:numPr>
                <w:ilvl w:val="0"/>
                <w:numId w:val="4"/>
              </w:numPr>
              <w:tabs>
                <w:tab w:val="clear" w:pos="709"/>
                <w:tab w:val="left" w:pos="707" w:leader="none"/>
              </w:tabs>
              <w:spacing w:before="0" w:after="32"/>
              <w:rPr>
                <w:rFonts w:ascii="Verdana" w:hAnsi="Verdana"/>
              </w:rPr>
            </w:pPr>
            <w:r>
              <w:rPr>
                <w:rFonts w:ascii="Verdana" w:hAnsi="Verdana"/>
                <w:color w:val="333333"/>
              </w:rPr>
              <w:t xml:space="preserve">możliwość komunikacji elektronicznej z Wnioskodawcą </w:t>
            </w:r>
            <w:r>
              <w:rPr>
                <w:rFonts w:ascii="Verdana" w:hAnsi="Verdana"/>
                <w:color w:val="333333"/>
              </w:rPr>
              <w:t>(z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głaszanie uwag do projektów do budżetu obywatelskiego - umożliwienie mieszkańcom złożenia zapytań i uwag w formie elektronicznej do projektów)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333333"/>
                <w:spacing w:val="0"/>
                <w:sz w:val="24"/>
                <w:szCs w:val="24"/>
              </w:rPr>
              <w:t>.</w:t>
            </w:r>
          </w:p>
          <w:p>
            <w:pPr>
              <w:pStyle w:val="Default"/>
              <w:widowControl w:val="false"/>
              <w:numPr>
                <w:ilvl w:val="0"/>
                <w:numId w:val="0"/>
              </w:numPr>
              <w:tabs>
                <w:tab w:val="clear" w:pos="709"/>
                <w:tab w:val="left" w:pos="707" w:leader="none"/>
              </w:tabs>
              <w:spacing w:before="0" w:after="32"/>
              <w:ind w:left="1489" w:hanging="0"/>
              <w:rPr>
                <w:rFonts w:ascii="Verdana" w:hAnsi="Verdana"/>
                <w:strike/>
              </w:rPr>
            </w:pPr>
            <w:r>
              <w:rPr>
                <w:rFonts w:ascii="Verdana" w:hAnsi="Verdana"/>
                <w:strike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tabs>
                <w:tab w:val="clear" w:pos="709"/>
                <w:tab w:val="left" w:pos="707" w:leader="none"/>
              </w:tabs>
              <w:spacing w:before="0" w:after="150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/>
        <w:tc>
          <w:tcPr>
            <w:tcW w:w="70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retekstu"/>
              <w:widowControl w:val="false"/>
              <w:tabs>
                <w:tab w:val="clear" w:pos="709"/>
                <w:tab w:val="left" w:pos="707" w:leader="none"/>
              </w:tabs>
              <w:spacing w:before="0" w:after="150"/>
              <w:ind w:left="707" w:hanging="0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bCs/>
                <w:color w:val="333333"/>
              </w:rPr>
              <w:t>Moduł głosowania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tabs>
                <w:tab w:val="clear" w:pos="709"/>
                <w:tab w:val="left" w:pos="707" w:leader="none"/>
              </w:tabs>
              <w:spacing w:before="0" w:after="150"/>
              <w:ind w:left="707" w:hanging="0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/>
        <w:tc>
          <w:tcPr>
            <w:tcW w:w="70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retekstu"/>
              <w:widowControl w:val="false"/>
              <w:numPr>
                <w:ilvl w:val="0"/>
                <w:numId w:val="2"/>
              </w:numPr>
              <w:tabs>
                <w:tab w:val="clear" w:pos="709"/>
                <w:tab w:val="left" w:pos="707" w:leader="none"/>
              </w:tabs>
              <w:spacing w:before="0" w:after="15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333333"/>
              </w:rPr>
              <w:t>głosowanie elektroniczne z uwierzytelnieniem głosującego /różne warianty;</w:t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707" w:leader="none"/>
              </w:tabs>
              <w:spacing w:before="0" w:after="150"/>
              <w:ind w:left="707" w:hanging="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333333"/>
              </w:rPr>
              <w:t>z</w:t>
            </w:r>
            <w:r>
              <w:rPr>
                <w:rFonts w:ascii="Verdana" w:hAnsi="Verdana"/>
              </w:rPr>
              <w:t>apewnienia przeprowadzanie głosowania nad projektami zgłoszonymi przez mieszkańców do Budżetu Obywatelskiego obejmujące różne logiki przydzielania głosów;</w:t>
            </w:r>
          </w:p>
          <w:p>
            <w:pPr>
              <w:pStyle w:val="Default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Tretekstu"/>
              <w:widowControl w:val="false"/>
              <w:tabs>
                <w:tab w:val="clear" w:pos="709"/>
                <w:tab w:val="left" w:pos="707" w:leader="none"/>
              </w:tabs>
              <w:spacing w:before="0" w:after="150"/>
              <w:ind w:left="707" w:hanging="0"/>
              <w:rPr>
                <w:rFonts w:ascii="Verdana" w:hAnsi="Verdana"/>
              </w:rPr>
            </w:pPr>
            <w:r>
              <w:rPr>
                <w:rFonts w:ascii="Verdana" w:hAnsi="Verdana"/>
                <w:color w:val="000000"/>
              </w:rPr>
              <w:t>zapewnienie przestrzegania warunków koniecznych do uwzględnienia głosu, zestaw wariantów, jeden do wyboru:</w:t>
            </w:r>
          </w:p>
          <w:p>
            <w:pPr>
              <w:pStyle w:val="Default"/>
              <w:widowControl w:val="false"/>
              <w:numPr>
                <w:ilvl w:val="0"/>
                <w:numId w:val="5"/>
              </w:numPr>
              <w:spacing w:before="0" w:after="13"/>
              <w:rPr/>
            </w:pPr>
            <w:r>
              <w:rPr>
                <w:rFonts w:ascii="Verdana" w:hAnsi="Verdana"/>
              </w:rPr>
              <w:t>numer PESEL,</w:t>
            </w:r>
          </w:p>
          <w:p>
            <w:pPr>
              <w:pStyle w:val="Default"/>
              <w:widowControl w:val="false"/>
              <w:numPr>
                <w:ilvl w:val="0"/>
                <w:numId w:val="5"/>
              </w:numPr>
              <w:spacing w:before="0" w:after="1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numer PESEL + Dodatkowa dana (np. Imię ojca/Nazwisko rodowe matki),</w:t>
            </w:r>
          </w:p>
          <w:p>
            <w:pPr>
              <w:pStyle w:val="Default"/>
              <w:widowControl w:val="false"/>
              <w:numPr>
                <w:ilvl w:val="0"/>
                <w:numId w:val="5"/>
              </w:numPr>
              <w:spacing w:before="0" w:after="1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 + Nazwisko + 3 (4) ostatnie cyfry numeru PESEL,</w:t>
            </w:r>
          </w:p>
          <w:p>
            <w:pPr>
              <w:pStyle w:val="Default"/>
              <w:widowControl w:val="false"/>
              <w:numPr>
                <w:ilvl w:val="0"/>
                <w:numId w:val="5"/>
              </w:numPr>
              <w:spacing w:before="0" w:after="1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 + Nazwisko + 3 ostatnie cyfry numeru PESEL + Dodatkowa dana,</w:t>
            </w:r>
          </w:p>
          <w:p>
            <w:pPr>
              <w:pStyle w:val="Default"/>
              <w:widowControl w:val="false"/>
              <w:numPr>
                <w:ilvl w:val="0"/>
                <w:numId w:val="5"/>
              </w:numPr>
              <w:spacing w:before="0" w:after="1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imię + nazwisko + adres zameldowania</w:t>
            </w:r>
          </w:p>
          <w:p>
            <w:pPr>
              <w:pStyle w:val="Default"/>
              <w:widowControl w:val="false"/>
              <w:spacing w:before="0" w:after="13"/>
              <w:rPr/>
            </w:pPr>
            <w:r>
              <w:rPr/>
            </w:r>
          </w:p>
          <w:p>
            <w:pPr>
              <w:pStyle w:val="Default"/>
              <w:widowControl w:val="false"/>
              <w:spacing w:before="0" w:after="90"/>
              <w:ind w:left="1080" w:hanging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 przypadku negatywnego wyniku weryfikacji osoby głosującej (wiek, miejsce zamieszkania), prób oddania głosu niezgodnie z logiką wyboru projektów lub prób zagłosowania z wykorzystaniem danych osoby, która oddała już głos -wyświetlanie komunikatu z instrukcją postępowania dla użytkownika, np.: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/>
            </w:pPr>
            <w:r>
              <w:rPr>
                <w:rFonts w:ascii="Verdana" w:hAnsi="Verdana"/>
                <w:color w:val="000000"/>
              </w:rPr>
              <w:t>„</w:t>
            </w:r>
            <w:r>
              <w:rPr>
                <w:rFonts w:ascii="Verdana" w:hAnsi="Verdana"/>
                <w:color w:val="000000"/>
              </w:rPr>
              <w:t>Błędny numer PESEL. Proszę wpisać ponownie albo zrezygnować z wprowadzenia danych";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/>
            </w:pPr>
            <w:r>
              <w:rPr>
                <w:rFonts w:ascii="Verdana" w:hAnsi="Verdana"/>
                <w:color w:val="000000"/>
              </w:rPr>
              <w:t>„</w:t>
            </w:r>
            <w:r>
              <w:rPr>
                <w:rFonts w:ascii="Verdana" w:hAnsi="Verdana"/>
                <w:color w:val="000000"/>
              </w:rPr>
              <w:t>Wiek poniżej 13 lat. Jeśli numer PESEL został wpisany poprawnie, nie ma podstaw do udziału w głosowaniu";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/>
            </w:pPr>
            <w:r>
              <w:rPr>
                <w:rFonts w:ascii="Verdana" w:hAnsi="Verdana"/>
                <w:color w:val="000000"/>
              </w:rPr>
              <w:t>"Nic możesz oddać głosu, ponieważ podany numer PESEL występuje w bazie osób, które już głosowały";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rPr/>
            </w:pPr>
            <w:r>
              <w:rPr>
                <w:rFonts w:ascii="Verdana" w:hAnsi="Verdana"/>
                <w:color w:val="000000"/>
              </w:rPr>
              <w:t>" Podane miejsce zamieszkania nie znajduje się na terenie wskazanego obszaru";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707" w:leader="none"/>
              </w:tabs>
              <w:spacing w:before="0" w:after="15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  <w:p>
            <w:pPr>
              <w:pStyle w:val="Normal"/>
              <w:widowControl w:val="false"/>
              <w:numPr>
                <w:ilvl w:val="1"/>
                <w:numId w:val="7"/>
              </w:numPr>
              <w:tabs>
                <w:tab w:val="clear" w:pos="709"/>
                <w:tab w:val="left" w:pos="707" w:leader="none"/>
              </w:tabs>
              <w:spacing w:before="0" w:after="15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  <w:t>możliwość udostępnienia aktywnych formularzy wyłącznie w ściśle określonym przedziale czasowym, wymienionym w ogłoszeniu o rozpoczęciu konsultacji w przedmiocie Budżetu Obywatelskiego;</w:t>
            </w:r>
          </w:p>
          <w:p>
            <w:pPr>
              <w:pStyle w:val="Normal"/>
              <w:widowControl w:val="false"/>
              <w:numPr>
                <w:ilvl w:val="1"/>
                <w:numId w:val="7"/>
              </w:numPr>
              <w:tabs>
                <w:tab w:val="clear" w:pos="709"/>
                <w:tab w:val="left" w:pos="707" w:leader="none"/>
              </w:tabs>
              <w:spacing w:before="0" w:after="150"/>
              <w:rPr>
                <w:rFonts w:ascii="Verdana" w:hAnsi="Verdana"/>
              </w:rPr>
            </w:pPr>
            <w:r>
              <w:rPr>
                <w:rFonts w:ascii="Verdana" w:hAnsi="Verdana"/>
                <w:color w:val="000000"/>
              </w:rPr>
              <w:t>umożliwienie oddawania głosów z różnych urządzeń: komputerów PC, tabletów, smartfonów.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retekstu"/>
              <w:widowControl w:val="false"/>
              <w:tabs>
                <w:tab w:val="clear" w:pos="709"/>
                <w:tab w:val="left" w:pos="707" w:leader="none"/>
              </w:tabs>
              <w:spacing w:before="0" w:after="150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color w:val="000000"/>
              </w:rPr>
            </w:r>
          </w:p>
        </w:tc>
      </w:tr>
      <w:tr>
        <w:trPr/>
        <w:tc>
          <w:tcPr>
            <w:tcW w:w="70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numPr>
                <w:ilvl w:val="1"/>
                <w:numId w:val="7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color w:val="000000"/>
              </w:rPr>
              <w:t>umożliwienie filtrowania wyników głosowania według dowolnego zdefiniowanego kryterium;</w:t>
            </w:r>
          </w:p>
          <w:p>
            <w:pPr>
              <w:pStyle w:val="Normal"/>
              <w:widowControl w:val="false"/>
              <w:numPr>
                <w:ilvl w:val="1"/>
                <w:numId w:val="7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color w:val="000000"/>
              </w:rPr>
              <w:t>umożliwienie eksportowania danych do formatu Excel;</w:t>
            </w:r>
          </w:p>
          <w:p>
            <w:pPr>
              <w:pStyle w:val="Normal"/>
              <w:widowControl w:val="false"/>
              <w:numPr>
                <w:ilvl w:val="1"/>
                <w:numId w:val="7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color w:val="000000"/>
              </w:rPr>
              <w:t>umożliwienie graficznej prezentacji zbiorczych wyników;</w:t>
            </w:r>
          </w:p>
          <w:p>
            <w:pPr>
              <w:pStyle w:val="Normal"/>
              <w:widowControl w:val="false"/>
              <w:numPr>
                <w:ilvl w:val="1"/>
                <w:numId w:val="7"/>
              </w:numPr>
              <w:rPr>
                <w:rFonts w:ascii="Verdana" w:hAnsi="Verdana"/>
              </w:rPr>
            </w:pPr>
            <w:r>
              <w:rPr>
                <w:rFonts w:ascii="Verdana" w:hAnsi="Verdana"/>
                <w:color w:val="000000"/>
              </w:rPr>
              <w:t xml:space="preserve">umożliwienie generowania wyników w czasie rzeczywistym. 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/>
        <w:tc>
          <w:tcPr>
            <w:tcW w:w="70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numPr>
                <w:ilvl w:val="1"/>
                <w:numId w:val="7"/>
              </w:numPr>
              <w:spacing w:before="0" w:after="2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zapewnienie responsywności tj. dostosowane do obsługi urządzeń mobilnych.</w:t>
            </w:r>
          </w:p>
          <w:p>
            <w:pPr>
              <w:pStyle w:val="Default"/>
              <w:widowControl w:val="false"/>
              <w:numPr>
                <w:ilvl w:val="1"/>
                <w:numId w:val="7"/>
              </w:numPr>
              <w:spacing w:before="0" w:after="2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dostosowanie i poprawność wyświetlane na wszystkich najpopularniejszych typach przeglądarek internetowych.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28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</w:tbl>
    <w:p>
      <w:pPr>
        <w:pStyle w:val="Normal"/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>
      <w:pPr>
        <w:pStyle w:val="Normal"/>
        <w:rPr>
          <w:rFonts w:ascii="Verdana" w:hAnsi="Verdana"/>
        </w:rPr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roman"/>
    <w:pitch w:val="variable"/>
  </w:font>
  <w:font w:name="Verdana">
    <w:charset w:val="01"/>
    <w:family w:val="swiss"/>
    <w:pitch w:val="variable"/>
  </w:font>
  <w:font w:name="OpenSymbol">
    <w:altName w:val="Arial Unicode MS"/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59450" cy="603885"/>
          <wp:effectExtent l="0" t="0" r="0" b="0"/>
          <wp:docPr id="2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3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489"/>
        </w:tabs>
        <w:ind w:left="1489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49"/>
        </w:tabs>
        <w:ind w:left="1849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09"/>
        </w:tabs>
        <w:ind w:left="2209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69"/>
        </w:tabs>
        <w:ind w:left="2569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929"/>
        </w:tabs>
        <w:ind w:left="2929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89"/>
        </w:tabs>
        <w:ind w:left="3289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49"/>
        </w:tabs>
        <w:ind w:left="3649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009"/>
        </w:tabs>
        <w:ind w:left="4009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69"/>
        </w:tabs>
        <w:ind w:left="4369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Verdana" w:hAnsi="Verdana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Verdana" w:hAnsi="Verdana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ascii="Verdana" w:hAnsi="Verdana"/>
      </w:r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2880" w:hanging="360"/>
      </w:pPr>
      <w:rPr>
        <w:rFonts w:ascii="Verdana" w:hAnsi="Verdana"/>
      </w:r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360"/>
      </w:pPr>
      <w:rPr>
        <w:rFonts w:ascii="Verdana" w:hAnsi="Verdana"/>
      </w:rPr>
    </w:lvl>
    <w:lvl w:ilvl="6">
      <w:start w:val="1"/>
      <w:numFmt w:val="lowerLetter"/>
      <w:lvlText w:val="%7)"/>
      <w:lvlJc w:val="left"/>
      <w:pPr>
        <w:tabs>
          <w:tab w:val="num" w:pos="3600"/>
        </w:tabs>
        <w:ind w:left="3600" w:hanging="360"/>
      </w:pPr>
      <w:rPr>
        <w:rFonts w:ascii="Verdana" w:hAnsi="Verdana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960" w:hanging="360"/>
      </w:pPr>
      <w:rPr>
        <w:rFonts w:ascii="Verdana" w:hAnsi="Verdana"/>
      </w:rPr>
    </w:lvl>
    <w:lvl w:ilvl="8">
      <w:start w:val="1"/>
      <w:numFmt w:val="lowerLetter"/>
      <w:lvlText w:val="%9)"/>
      <w:lvlJc w:val="left"/>
      <w:pPr>
        <w:tabs>
          <w:tab w:val="num" w:pos="4320"/>
        </w:tabs>
        <w:ind w:left="4320" w:hanging="360"/>
      </w:pPr>
      <w:rPr>
        <w:rFonts w:ascii="Verdana" w:hAnsi="Verdana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1067"/>
        </w:tabs>
        <w:ind w:left="1067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27"/>
        </w:tabs>
        <w:ind w:left="1427" w:hanging="360"/>
      </w:pPr>
      <w:rPr>
        <w:rFonts w:ascii="Symbol" w:hAnsi="Symbol" w:cs="Symbol" w:hint="default"/>
      </w:rPr>
    </w:lvl>
    <w:lvl w:ilvl="2">
      <w:start w:val="1"/>
      <w:numFmt w:val="bullet"/>
      <w:lvlText w:val="▪"/>
      <w:lvlJc w:val="left"/>
      <w:pPr>
        <w:tabs>
          <w:tab w:val="num" w:pos="1787"/>
        </w:tabs>
        <w:ind w:left="178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47"/>
        </w:tabs>
        <w:ind w:left="214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07"/>
        </w:tabs>
        <w:ind w:left="250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67"/>
        </w:tabs>
        <w:ind w:left="286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587"/>
        </w:tabs>
        <w:ind w:left="358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47"/>
        </w:tabs>
        <w:ind w:left="3947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ymbolzastpczy" w:customStyle="1">
    <w:name w:val="Symbol zastępczy"/>
    <w:qFormat/>
    <w:rPr>
      <w:smallCaps/>
      <w:color w:val="008080"/>
      <w:u w:val="dotted"/>
    </w:rPr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" w:customStyle="1">
    <w:name w:val="WW-Absatz-Standardschriftart"/>
    <w:qFormat/>
    <w:rPr/>
  </w:style>
  <w:style w:type="character" w:styleId="Absatz-Standardschriftart" w:customStyle="1">
    <w:name w:val="Absatz-Standardschriftart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Strong" w:customStyle="1">
    <w:name w:val="Strong"/>
    <w:qFormat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ea1dbc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istopka" w:customStyle="1">
    <w:name w:val="Główka i stopk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next w:val="Tretekstu"/>
    <w:link w:val="NagwekZnak"/>
    <w:uiPriority w:val="99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Liniapozioma" w:customStyle="1">
    <w:name w:val="Linia pozioma"/>
    <w:basedOn w:val="Normal"/>
    <w:next w:val="Treteks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styleId="Nagwek1" w:customStyle="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NSimSun" w:cs="Arial"/>
      <w:color w:val="000000"/>
      <w:kern w:val="2"/>
      <w:sz w:val="24"/>
      <w:szCs w:val="24"/>
      <w:lang w:val="pl-PL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LibreOffice/7.5.3.2$Windows_X86_64 LibreOffice_project/9f56dff12ba03b9acd7730a5a481eea045e468f3</Application>
  <AppVersion>15.0000</AppVersion>
  <Pages>4</Pages>
  <Words>609</Words>
  <Characters>4226</Characters>
  <CharactersWithSpaces>4768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2023-04-20T07:42:00Z</dcterms:created>
  <dc:creator>Janusz Piasecki</dc:creator>
  <dc:description/>
  <dc:language>pl-PL</dc:language>
  <cp:lastModifiedBy>Janusz Piasecki</cp:lastModifiedBy>
  <dcterms:modified xsi:type="dcterms:W3CDTF">2023-05-31T14:14:17Z</dcterms:modified>
  <cp:revision>4</cp:revision>
  <dc:subject/>
  <dc:title>SZABLON NR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