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9035" w14:textId="77777777" w:rsidR="00B55E3A" w:rsidRDefault="00000000">
      <w:pPr>
        <w:rPr>
          <w:rFonts w:ascii="Verdana" w:hAnsi="Verdana"/>
          <w:smallCaps/>
        </w:rPr>
      </w:pPr>
      <w:r>
        <w:rPr>
          <w:rFonts w:ascii="Verdana" w:hAnsi="Verdana"/>
          <w:smallCaps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8666737" wp14:editId="5B925B68">
                <wp:simplePos x="0" y="0"/>
                <wp:positionH relativeFrom="column">
                  <wp:posOffset>3143885</wp:posOffset>
                </wp:positionH>
                <wp:positionV relativeFrom="paragraph">
                  <wp:posOffset>111760</wp:posOffset>
                </wp:positionV>
                <wp:extent cx="2843530" cy="133032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640" cy="133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47.55pt;margin-top:8.8pt;width:223.85pt;height:104.7pt;mso-wrap-style:none;v-text-anchor:middle" wp14:anchorId="57C024EA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14:paraId="20A519E5" w14:textId="77777777" w:rsidR="00B55E3A" w:rsidRDefault="00000000">
      <w:pPr>
        <w:jc w:val="righ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Załącznik nr 4 do zapytania ofertowego</w:t>
      </w:r>
    </w:p>
    <w:p w14:paraId="78DF3B75" w14:textId="77777777" w:rsidR="00B55E3A" w:rsidRDefault="00B55E3A">
      <w:pPr>
        <w:jc w:val="right"/>
        <w:rPr>
          <w:rFonts w:ascii="Verdana" w:hAnsi="Verdana"/>
        </w:rPr>
      </w:pPr>
    </w:p>
    <w:p w14:paraId="26F8EC78" w14:textId="77777777" w:rsidR="00B55E3A" w:rsidRDefault="00B55E3A">
      <w:pPr>
        <w:jc w:val="right"/>
        <w:rPr>
          <w:rFonts w:ascii="Verdana" w:hAnsi="Verdana"/>
        </w:rPr>
      </w:pPr>
    </w:p>
    <w:p w14:paraId="36947FE7" w14:textId="77777777" w:rsidR="00B55E3A" w:rsidRDefault="00000000">
      <w:pPr>
        <w:jc w:val="center"/>
        <w:rPr>
          <w:b/>
          <w:bCs/>
        </w:rPr>
      </w:pPr>
      <w:r>
        <w:rPr>
          <w:rFonts w:ascii="Verdana" w:hAnsi="Verdana"/>
          <w:b/>
          <w:bCs/>
        </w:rPr>
        <w:t>FUNKCJONALNOŚĆ PLATFORMY. Wykonawca oferuje</w:t>
      </w:r>
    </w:p>
    <w:p w14:paraId="79FB7F41" w14:textId="77777777" w:rsidR="00B55E3A" w:rsidRDefault="00B55E3A">
      <w:pPr>
        <w:rPr>
          <w:rFonts w:ascii="Verdana" w:hAnsi="Verdana"/>
        </w:rPr>
      </w:pPr>
    </w:p>
    <w:p w14:paraId="404DE59C" w14:textId="77777777" w:rsidR="00B55E3A" w:rsidRDefault="0000000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TAK/NIE </w:t>
      </w:r>
    </w:p>
    <w:tbl>
      <w:tblPr>
        <w:tblW w:w="963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0"/>
        <w:gridCol w:w="1988"/>
      </w:tblGrid>
      <w:tr w:rsidR="005B48A2" w:rsidRPr="00B80306" w14:paraId="48F35E8D" w14:textId="77777777" w:rsidTr="0053784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B6D8" w14:textId="0DB79E53" w:rsidR="005B48A2" w:rsidRPr="00B80306" w:rsidRDefault="005B48A2" w:rsidP="005B48A2">
            <w:pPr>
              <w:widowControl w:val="0"/>
              <w:jc w:val="center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Platformę zakupową działającą poprzez bezpośrednie połączenie z przeglądarką internetową, umożliwiającą udzielanie zamówień publicznych przez Zamawiającego, komunikację elektroniczną z Wykonawcą  wraz z przeprowadzeniem szkolenia dla pracowników Zamawiającego.</w:t>
            </w:r>
          </w:p>
        </w:tc>
      </w:tr>
      <w:tr w:rsidR="00B55E3A" w:rsidRPr="00B80306" w14:paraId="268BA796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3B7F1825" w14:textId="77777777" w:rsidR="00B55E3A" w:rsidRPr="00B80306" w:rsidRDefault="00000000">
            <w:pPr>
              <w:widowControl w:val="0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 xml:space="preserve">Platformę spełniającą wszystkie wymagania wynikające z obowiązujących przepisów prawa, w szczególności z:  </w:t>
            </w:r>
          </w:p>
          <w:p w14:paraId="15CE23E1" w14:textId="77777777" w:rsidR="00B55E3A" w:rsidRPr="00B80306" w:rsidRDefault="00000000">
            <w:pPr>
              <w:widowControl w:val="0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 xml:space="preserve">a) ustawy z dnia 11 września 2019 r. Prawo zamówień publicznych (tj. Dz. U. z 2022 r., poz. 1710) </w:t>
            </w:r>
          </w:p>
          <w:p w14:paraId="20431973" w14:textId="77777777" w:rsidR="00B55E3A" w:rsidRPr="00B80306" w:rsidRDefault="00000000">
            <w:pPr>
              <w:widowControl w:val="0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 xml:space="preserve">b) Dyrektywy Parlamentu Europejskiego i Rady 2014/24/UE z dnia 26 lutego 2014 r. w sprawie zamówień publicznych, uchylającej dyrektywę 2004/18/WE (Dz. Urz. UE L 94 z 28.3.2014 r., str. 65, z </w:t>
            </w:r>
            <w:proofErr w:type="spellStart"/>
            <w:r w:rsidRPr="00B80306">
              <w:rPr>
                <w:rFonts w:ascii="Verdana" w:hAnsi="Verdana"/>
                <w:sz w:val="23"/>
                <w:szCs w:val="23"/>
              </w:rPr>
              <w:t>późn</w:t>
            </w:r>
            <w:proofErr w:type="spellEnd"/>
            <w:r w:rsidRPr="00B80306">
              <w:rPr>
                <w:rFonts w:ascii="Verdana" w:hAnsi="Verdana"/>
                <w:sz w:val="23"/>
                <w:szCs w:val="23"/>
              </w:rPr>
              <w:t xml:space="preserve">. zm.) </w:t>
            </w:r>
          </w:p>
          <w:p w14:paraId="493418C8" w14:textId="77777777" w:rsidR="00B55E3A" w:rsidRPr="00B80306" w:rsidRDefault="00000000">
            <w:pPr>
              <w:widowControl w:val="0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c) ustawy z dnia 18 lipca 2002 r. o świadczeniu usług drogą elektroniczną (</w:t>
            </w:r>
            <w:proofErr w:type="spellStart"/>
            <w:r w:rsidRPr="00B80306">
              <w:rPr>
                <w:rFonts w:ascii="Verdana" w:hAnsi="Verdana"/>
                <w:sz w:val="23"/>
                <w:szCs w:val="23"/>
              </w:rPr>
              <w:t>t.j</w:t>
            </w:r>
            <w:proofErr w:type="spellEnd"/>
            <w:r w:rsidRPr="00B80306">
              <w:rPr>
                <w:rFonts w:ascii="Verdana" w:hAnsi="Verdana"/>
                <w:sz w:val="23"/>
                <w:szCs w:val="23"/>
              </w:rPr>
              <w:t xml:space="preserve">. Dz. </w:t>
            </w:r>
            <w:proofErr w:type="spellStart"/>
            <w:r w:rsidRPr="00B80306">
              <w:rPr>
                <w:rFonts w:ascii="Verdana" w:hAnsi="Verdana"/>
                <w:sz w:val="23"/>
                <w:szCs w:val="23"/>
              </w:rPr>
              <w:t>U.z</w:t>
            </w:r>
            <w:proofErr w:type="spellEnd"/>
            <w:r w:rsidRPr="00B80306">
              <w:rPr>
                <w:rFonts w:ascii="Verdana" w:hAnsi="Verdana"/>
                <w:sz w:val="23"/>
                <w:szCs w:val="23"/>
              </w:rPr>
              <w:t xml:space="preserve"> 2020 r., poz. 344 ze zm.)</w:t>
            </w:r>
          </w:p>
          <w:p w14:paraId="6EA79FD9" w14:textId="77777777" w:rsidR="00B55E3A" w:rsidRPr="00B80306" w:rsidRDefault="00000000">
            <w:pPr>
              <w:widowControl w:val="0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e) rozporządzenia wykonawczym Komisji (UE) 2016/7 z dnia 5 stycznia 2016 r. ustanawiającym standardowy formularz jednolitego europejskiego dokumentu zamówienia (</w:t>
            </w:r>
            <w:proofErr w:type="spellStart"/>
            <w:r w:rsidRPr="00B80306">
              <w:rPr>
                <w:rFonts w:ascii="Verdana" w:hAnsi="Verdana"/>
                <w:sz w:val="23"/>
                <w:szCs w:val="23"/>
              </w:rPr>
              <w:t>Dz.Urz.UE.L</w:t>
            </w:r>
            <w:proofErr w:type="spellEnd"/>
            <w:r w:rsidRPr="00B80306">
              <w:rPr>
                <w:rFonts w:ascii="Verdana" w:hAnsi="Verdana"/>
                <w:sz w:val="23"/>
                <w:szCs w:val="23"/>
              </w:rPr>
              <w:t xml:space="preserve"> Nr 3, str. 16) </w:t>
            </w:r>
          </w:p>
          <w:p w14:paraId="2FAC36F4" w14:textId="77777777" w:rsidR="00B55E3A" w:rsidRPr="00B80306" w:rsidRDefault="00000000">
            <w:pPr>
              <w:widowControl w:val="0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f) rozporządzenia wykonawczym Komisji (UE) nr 2015/1986 z dnia 11 listopada 2015 r. ustanawiającym standardowe formularze do publikacji ogłoszeń w dziedzinie zamówień publicznych i uchylającym rozporządzenie wykonawcze (UE) nr 842/2011 (</w:t>
            </w:r>
            <w:proofErr w:type="spellStart"/>
            <w:r w:rsidRPr="00B80306">
              <w:rPr>
                <w:rFonts w:ascii="Verdana" w:hAnsi="Verdana"/>
                <w:sz w:val="23"/>
                <w:szCs w:val="23"/>
              </w:rPr>
              <w:t>Dz.Urz.UE.L</w:t>
            </w:r>
            <w:proofErr w:type="spellEnd"/>
            <w:r w:rsidRPr="00B80306">
              <w:rPr>
                <w:rFonts w:ascii="Verdana" w:hAnsi="Verdana"/>
                <w:sz w:val="23"/>
                <w:szCs w:val="23"/>
              </w:rPr>
              <w:t xml:space="preserve"> Nr 296, str. 1) </w:t>
            </w:r>
          </w:p>
          <w:p w14:paraId="7CC4F080" w14:textId="77777777" w:rsidR="00B55E3A" w:rsidRPr="00B80306" w:rsidRDefault="00000000">
            <w:pPr>
              <w:widowControl w:val="0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 xml:space="preserve">g) przepisów dotyczących ochrony danych osobowych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1BE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175E2139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56A8FCDC" w14:textId="4FCB7CAA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możliwość prowadzenia postępowań P</w:t>
            </w:r>
            <w:r w:rsidR="005B48A2" w:rsidRPr="00B80306">
              <w:rPr>
                <w:rFonts w:ascii="Verdana" w:hAnsi="Verdana"/>
                <w:sz w:val="23"/>
                <w:szCs w:val="23"/>
              </w:rPr>
              <w:t>ZP</w:t>
            </w:r>
            <w:r w:rsidRPr="00B80306">
              <w:rPr>
                <w:rFonts w:ascii="Verdana" w:hAnsi="Verdana"/>
                <w:sz w:val="23"/>
                <w:szCs w:val="23"/>
              </w:rPr>
              <w:t xml:space="preserve"> i regulaminowych na platformie - ilość nielimitowana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55D2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7EEA22C8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112D4992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dostęp do nielimitowanej ilości szkoleń online merytorycznych i technicznych –  postępowania zgodne z PZP i zakupy regulaminowe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32EB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715671A0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77454272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moduł automatycznego szyfrowania i odszyfrowywania ofert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0FEB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72C20E1B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1C51FD5D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moduł zestawienia ofert w przetargach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A48A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11EA39D3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19A4290F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moduł raportów, w tym co najmniej : raport postępowania, raport ofert, raport roczny z postępowań,  raporty do druku i w xls,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D2AE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20810E5C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61B91A9C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rejestr wydatków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AD0A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782DBE3A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12109BF8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wsparcie opiekuna technicznego oraz merytorycznego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2395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39415B7C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0DE7B2A1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lastRenderedPageBreak/>
              <w:t>archiwum postępowań min. 10 lat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9233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3CE8ABFB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1B5F7D4A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dostęp do kwalifikowanej walidacji podpisów kwalifikowanych przez platformę - bez limitu plików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402C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355449CE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60B7C22D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gwarancja zwrotu kosztów KIO - Zwrot Zamawiającemu uzasadnionych zasądzonych kosztów postępowań przed Krajową Izbą Odwoławczą (KIO) z tytułu przegranych spraw z Wykonawcami, jeżeli w wyroku KIO jako przyczynę uwzględnienia odwołania Wykonawcy podano błędy techniczne platformy zakupowej. Powyższy zwrot kosztów nie ma limitu, tzn. może być wyższy niż wartość Umowy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6A5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25AB23B3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7DA030B5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 xml:space="preserve">Platforma posiada </w:t>
            </w:r>
            <w:r w:rsidRPr="00B80306">
              <w:rPr>
                <w:rFonts w:ascii="Verdana" w:hAnsi="Verdana"/>
                <w:sz w:val="23"/>
                <w:szCs w:val="23"/>
                <w:highlight w:val="white"/>
              </w:rPr>
              <w:t xml:space="preserve">certyfikat szyfrowania danych </w:t>
            </w:r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 xml:space="preserve">TLS 1.3. TLS to </w:t>
            </w:r>
            <w:proofErr w:type="spellStart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>Secure</w:t>
            </w:r>
            <w:proofErr w:type="spellEnd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>Socket</w:t>
            </w:r>
            <w:proofErr w:type="spellEnd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>Layer</w:t>
            </w:r>
            <w:proofErr w:type="spellEnd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 xml:space="preserve"> </w:t>
            </w:r>
            <w:r w:rsidRPr="00B80306">
              <w:rPr>
                <w:rFonts w:ascii="Verdana" w:hAnsi="Verdana"/>
                <w:sz w:val="23"/>
                <w:szCs w:val="23"/>
                <w:highlight w:val="white"/>
              </w:rPr>
              <w:t>zapewnia poufność i integralność transmisji danych, a także uwierzytelnienie serwera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9DE6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46C7338E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318544C6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  <w:highlight w:val="white"/>
              </w:rPr>
              <w:t>g</w:t>
            </w:r>
            <w:r w:rsidRPr="00B80306">
              <w:rPr>
                <w:rFonts w:ascii="Verdana" w:hAnsi="Verdana"/>
                <w:sz w:val="23"/>
                <w:szCs w:val="23"/>
              </w:rPr>
              <w:t xml:space="preserve">łówne serwery są zlokalizowane w Polsce oraz spełniają restrykcyjne wymogi bezpieczeństwa </w:t>
            </w:r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 xml:space="preserve">TIER III of </w:t>
            </w:r>
            <w:proofErr w:type="spellStart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>Constructed</w:t>
            </w:r>
            <w:proofErr w:type="spellEnd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 xml:space="preserve"> </w:t>
            </w:r>
            <w:proofErr w:type="spellStart"/>
            <w:r w:rsidRPr="00B80306">
              <w:rPr>
                <w:rFonts w:ascii="Verdana" w:hAnsi="Verdana"/>
                <w:b/>
                <w:sz w:val="23"/>
                <w:szCs w:val="23"/>
                <w:highlight w:val="white"/>
              </w:rPr>
              <w:t>Facility</w:t>
            </w:r>
            <w:proofErr w:type="spellEnd"/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22FD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3AC75CF1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26B0A8D4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zgodność z przepisami prawa unijnego zakresie komunikacji elektronicznej w postępowaniach o udzielenie zamówienia publicznego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8D87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111B49C6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0D456EC8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świadczenie usług zgodnie z rozporządzeniem Prezesa Rady Ministrów z 30 grudnia 2020 r. w sprawie sposobu sporządzania i przekazywania informacji oraz wymagań technicznych dla dokumentów elektronicznych oraz środków komunikacji elektronicznej w postępowaniu o udzielenie zamówienia publicznego lub konkursie (Dz.U. z 2020r., poz. 2452)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B158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0A46225E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5EE9EB5F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udostępnienie usługi dla Wykonawców w taki sposób, aby właściwości techniczne były niedyskryminujące oraz ogólnie dostępne, w tym brak wymogu rejestracji wykonawcy w celu złożenia oferty poprzez platformę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8F6D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73771795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3FA1147D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sz w:val="23"/>
                <w:szCs w:val="23"/>
              </w:rPr>
              <w:t>bezpłatny dostęp do postępowań dla Wykonawców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DCEC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  <w:tr w:rsidR="00B55E3A" w:rsidRPr="00B80306" w14:paraId="51C864C5" w14:textId="77777777" w:rsidTr="005B48A2"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</w:tcPr>
          <w:p w14:paraId="3AD0A4C4" w14:textId="77777777" w:rsidR="00B55E3A" w:rsidRPr="00B80306" w:rsidRDefault="00000000">
            <w:pPr>
              <w:pStyle w:val="LO-normal"/>
              <w:spacing w:after="181"/>
              <w:rPr>
                <w:rFonts w:ascii="Verdana" w:hAnsi="Verdana"/>
                <w:sz w:val="23"/>
                <w:szCs w:val="23"/>
              </w:rPr>
            </w:pPr>
            <w:r w:rsidRPr="00B80306">
              <w:rPr>
                <w:rFonts w:ascii="Verdana" w:hAnsi="Verdana"/>
                <w:color w:val="000000"/>
                <w:sz w:val="23"/>
                <w:szCs w:val="23"/>
              </w:rPr>
              <w:t>dostępność do najnowszych wersji systemu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D3EF" w14:textId="77777777" w:rsidR="00B55E3A" w:rsidRPr="00B80306" w:rsidRDefault="00B55E3A">
            <w:pPr>
              <w:widowControl w:val="0"/>
              <w:rPr>
                <w:rFonts w:ascii="Verdana" w:hAnsi="Verdana"/>
                <w:sz w:val="23"/>
                <w:szCs w:val="23"/>
              </w:rPr>
            </w:pPr>
          </w:p>
        </w:tc>
      </w:tr>
    </w:tbl>
    <w:p w14:paraId="0FCEB79B" w14:textId="77777777" w:rsidR="00B55E3A" w:rsidRDefault="00B55E3A">
      <w:pPr>
        <w:rPr>
          <w:rFonts w:ascii="Verdana" w:hAnsi="Verdana"/>
        </w:rPr>
      </w:pPr>
    </w:p>
    <w:sectPr w:rsidR="00B55E3A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22D3" w14:textId="77777777" w:rsidR="00DA3A97" w:rsidRDefault="00DA3A97">
      <w:r>
        <w:separator/>
      </w:r>
    </w:p>
  </w:endnote>
  <w:endnote w:type="continuationSeparator" w:id="0">
    <w:p w14:paraId="0DAEADDC" w14:textId="77777777" w:rsidR="00DA3A97" w:rsidRDefault="00DA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EC3F" w14:textId="77777777" w:rsidR="00DA3A97" w:rsidRDefault="00DA3A97">
      <w:r>
        <w:separator/>
      </w:r>
    </w:p>
  </w:footnote>
  <w:footnote w:type="continuationSeparator" w:id="0">
    <w:p w14:paraId="4A4EEEF3" w14:textId="77777777" w:rsidR="00DA3A97" w:rsidRDefault="00DA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9A85" w14:textId="77777777" w:rsidR="00B55E3A" w:rsidRDefault="00000000">
    <w:pPr>
      <w:pStyle w:val="Nagwek"/>
    </w:pPr>
    <w:r>
      <w:rPr>
        <w:noProof/>
      </w:rPr>
      <w:drawing>
        <wp:inline distT="0" distB="0" distL="0" distR="0" wp14:anchorId="37698DAE" wp14:editId="676D2B25">
          <wp:extent cx="5759450" cy="6038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DAAA6" w14:textId="77777777" w:rsidR="00B55E3A" w:rsidRDefault="00B55E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3A"/>
    <w:rsid w:val="00291AB8"/>
    <w:rsid w:val="002B50D3"/>
    <w:rsid w:val="005A0BA9"/>
    <w:rsid w:val="005B48A2"/>
    <w:rsid w:val="00B55E3A"/>
    <w:rsid w:val="00B80306"/>
    <w:rsid w:val="00DA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26A6"/>
  <w15:docId w15:val="{1B6FCC84-0881-4CF0-90B4-494072A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A1DBC"/>
  </w:style>
  <w:style w:type="paragraph" w:styleId="Nagwek">
    <w:name w:val="header"/>
    <w:basedOn w:val="Normalny"/>
    <w:next w:val="Tekstpodstawow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NR 1</dc:title>
  <dc:subject/>
  <dc:creator>Janusz Piasecki</dc:creator>
  <dc:description/>
  <cp:lastModifiedBy>j.piasecki</cp:lastModifiedBy>
  <cp:revision>2</cp:revision>
  <dcterms:created xsi:type="dcterms:W3CDTF">2023-04-20T07:42:00Z</dcterms:created>
  <dcterms:modified xsi:type="dcterms:W3CDTF">2023-04-20T07:42:00Z</dcterms:modified>
  <dc:language>pl-PL</dc:language>
</cp:coreProperties>
</file>