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pacing w:val="-7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  <w:lang w:val="pl-PL"/>
        </w:rPr>
        <w:t>Przełącznik sieciowy (switch)</w:t>
      </w:r>
      <w:bookmarkStart w:id="0" w:name="_Hlk29986576"/>
      <w:bookmarkEnd w:id="0"/>
    </w:p>
    <w:tbl>
      <w:tblPr>
        <w:tblW w:w="107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23"/>
        <w:gridCol w:w="8986"/>
      </w:tblGrid>
      <w:tr>
        <w:trPr/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00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="Calibri" w:cstheme="minorHAnsi"/>
                <w:color w:val="FFFFFF" w:themeColor="background1"/>
                <w:sz w:val="18"/>
                <w:szCs w:val="18"/>
              </w:rPr>
              <w:t>Komponent</w:t>
            </w:r>
          </w:p>
        </w:tc>
        <w:tc>
          <w:tcPr>
            <w:tcW w:w="8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00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="Calibri" w:cstheme="minorHAnsi"/>
                <w:color w:val="FFFFFF" w:themeColor="background1"/>
                <w:sz w:val="18"/>
                <w:szCs w:val="18"/>
              </w:rPr>
              <w:t>Minimalne wymagania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Porty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Przełącznik 1U wyposażony w porty: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  <w:t>- 12 x 10 Gigabit Ethernet SFP+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  <w:t>- 3 x 100 Gigabit Ethernet QSFP28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  <w:t xml:space="preserve">- 1 port konsolowy RJ45 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  <w:t xml:space="preserve">- 1 port ethernet RJ-45, out-of-band management  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- 1 port USB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System operacyjny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Modularny system operacyjny,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Musi być zgodny ze standardem ONIE i  umożliwiać instalacje systemów operacyjnych innych producentów, w celu uzyskania dodatkowych funkcjonalności. 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Zasilanie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2 redundantne zasilacze AC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RACK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zapewniać instalację w szafach 19”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Pamięć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Pamięć CPU: 4GB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Pojemność bufora pakietów: 12MB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Wydajność 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posiadać matrycę przełączającą o wydajności min. 840Gbps (full-duplex), 630 Mpps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Szybkość przełączania ramki w obrębie przełącznika maksymalnie 800 nano sekund;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Chłodzenie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posiadać możliwość chłodzenia urządzenia w trybie przód-do-tyłu lub tył-do-przodu (ustawienia fabryczne).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Temperatura pracy w przedziale 0-40 stopni Celcjusza 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Funkcjonalności warstwy II 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obsługiwać ramki „Jumbo” o długości min. 9400  B.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Musi obsługiwać, co najmniej 4000 VLANów. 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Pamięć, dla co najmniej 160 000 adresów MAC.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obsługiwać, co najmniej protokoły: STP, RSTP, PVST+, MSTP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wspierać funkcjonalność wirtualnej agregacji portów umożliwiającą:</w:t>
              <w:br/>
              <w:t xml:space="preserve">- terminowanie pojedynczej wiązki EtherChannel/LACP wyprowadzonej z urządzenia zewnętrznego (serwera, przełącznika) na 2 niezależnych opisywanych urządzeniach </w:t>
              <w:br/>
              <w:t xml:space="preserve">- budowę topologii sieci bez pętli z pełnym wykorzystaniem agregowanych łączy </w:t>
              <w:br/>
              <w:t xml:space="preserve">- umożliwiać wysokodostępny mechanizm kontroli dla 2 niezależnych opisywanych urządzeń 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Urządzenie musi posiadać możliwość definiowana łączy w grupy LAG (802.3ad). Obsługa min. 16 łączy w grupie LAG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obsługiwać DCB (Data Center Bridging),  802.1Qbb Priority-Based Flow Control, funkcjonalnosć DCB oraz PFC i ECN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Musi zapewniać sprzętowe wsparcie dla L3 VXLAN routing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być zgodniy z następującymi standardami IEEE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802.1AB LLDP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TIA-1057 LLDP-MED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802.1s MSTP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802.1w RSTP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802.3ab Gigabit Ethernet (1000Base-T)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802.3ad Link Aggregation with LACP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802.3ae 10 Gigabit Ethernet (10GBase-X)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802.3ba 40 Gigabit Ethernet (40GBase-X)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802.3i Ethernet (10Base-T)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802.3u Fast Ethernet (100Base-TX)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802.3z Gigabit Ethernet (1000BaseX)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802.1D Bridging, STP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802.1p L2 Prioritization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802.1Q VLAN Tagging, Double VLAN Tagging, GVRP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802.1Qbb PFC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802.1Qaz ETS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802.1s MSTP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802.1w RSTP PVST+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802.1X Network Access Control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802.3ab Gigabit Ethernet (1000BASE-T) or breakout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802.3ac Frame Extensions for VLAN Tagging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802.3ad Link Aggregation with LACP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802.3ae 10 Gigabit Ethernet (10GBase-X)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802.3ba 40 Gigabit Ethernet (40GBase- SR4, 40GBase-CR4, 40GBase-LR4, 100GBase-SR10, 100GBase-LR4, 100GBase-ER4) on optical ports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802.3bj 100 Gigabit Ethernet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802.3u Fast Ethernet (100Base-TX) na porcie zarządzania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802.3x Flow Control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802.3z Gigabit Ethernet (1000Base-X) z adapterem QSA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ANSI/TIA-1057 LLDP-MED 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Funkcjonalności warstwy III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obsługiwać protokoły dynamicznego routing  dla IPv4 i dla IPv6: OSPF, BGP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obsługiwać protokół BFD, przynajmniej dla protokłu OSPF i OSFP v3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przechowywać  minimum  200 000 wpisów rotingu IPv4 i minimum 160 000 wpisów routigu IPv6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wspierać mechanizm L3 ECMP Load Balancing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wspierać protokół redundancji VRRP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Wsparcie dla DHCP server i DHCP Relay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Obsługa Policy Based Routing 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obsługiwać funkcjonalność VxLAN, Static VxLan, BGP eVPN oraz BGP eVPN Layer2 Vxlan gateway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obsługiwać poniższe standardy w zakresie protokołów routingu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791 IPv4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792 ICMP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826 ARP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1027 Proxy ARP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1035 DNS (client)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1042 Ethernet Transmission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1191 Path MTU Discovery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1305 NTPv4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1519 CIDR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1812 Routers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1858 IP Fragment Filtering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2131 DHCP (server and relay)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5798 VRRP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3021 31-bit Prefixes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3046 DHCP Option 82 (Relay)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1812 Requirements for IPv4 Routers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1918 Address Allocation for Private Internets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2474 Diffserv Field in IPv4 and Ipv6 Headers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2596 Assured Forwarding PHB Group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3195 Reliable Delivery for Syslog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3246 Expedited Assured Forwarding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COPP: Control Plane Policing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Policy Based Routing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2460 IPv6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2462 Stateless Address AutoConfig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2463 ICMPv6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2464 Ethernet Transmission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2675 Jumbo grams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3587 Global Unicast Address Format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4291 IPv6 Addressing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2464 Transmission of IPv6 Packets over Ethernet Networks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2711 IPv6 Router Alert Option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4007 IPv6 Scoped Address Architecture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4213 Basic Transition Mechanisms for IPv6 Hosts and Routers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Dla protokołu OSPF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1587 NSSA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1745 OSPF/BGP interaction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1765 OSPF Database overflow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2154 MD5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2328 OSPFv2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2370 Opaque LSA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3101 OSPF NSSA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>Dla protokołu BGP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1997 BGP Communities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2385 MD5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2439 Route Flap Damping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2796 Route Reflection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2842 Capabilities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2918 Route Refresh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3065 Confederations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4271 BGP-4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4360 Extended Communities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4893 4-byte ASN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5396 4-byte ASN Representation 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Mechanizmy bezpieczeństwa i QoS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Musi wspierać następujące mechanizmy związane z zapewnieniem, jakości obsługi (QoS) w sieci: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>Klasyfikacja ruchu dla klas różnej, jakości obsługi QoS poprzez wykorzystanie, co najmniej następujących paramentów: źródłowy/docelowy adres MAC, źródłowy/docelowy adres IP, vlan, wartość DSCP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 xml:space="preserve">Implementacja, co najmniej 8 kolejek sprzętowych na każdym porcie wyjściowym dla obsługi ruchu o różnej klasie obsługi.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 xml:space="preserve">Możliwość obsługi jednej z powyższych kolejek z bezwzględnym priorytetem w stosunku do innych (Strict Priority).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en-US"/>
              </w:rPr>
              <w:t>Implementacja mechanizmu Weighted Random Early Detection (WRED)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>Obsługa IP Precedence i DSCP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>Obsługa Control-Plane-Policing (ochrona systemu operacyjnego przd atakami DoS)</w:t>
            </w:r>
          </w:p>
          <w:p>
            <w:pPr>
              <w:pStyle w:val="Normal"/>
              <w:widowControl w:val="false"/>
              <w:spacing w:before="0" w:after="0"/>
              <w:rPr>
                <w:rFonts w:eastAsia="" w:cs="Calibri" w:cstheme="minorHAnsi" w:eastAsiaTheme="minorEastAsia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Musi wspierać następujące mechanizmy związane z zarządzaniem i zapewnieniem bezpieczeństwa w sieci: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>Co najmniej 3 poziomy dostępu administracyjnego przez konsole: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 xml:space="preserve">Autoryzacja użytkowników/portów w oparciu o 802.1x 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>Obsługa List dostępu ACL dla adresów MAC i adresów IPv4 i IPv6</w:t>
            </w:r>
          </w:p>
          <w:p>
            <w:pPr>
              <w:pStyle w:val="Normal"/>
              <w:widowControl w:val="false"/>
              <w:spacing w:before="0" w:after="0"/>
              <w:rPr>
                <w:rFonts w:eastAsia="" w:cs="Calibri" w:cstheme="minorHAnsi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="" w:cs="Calibri" w:cstheme="minorHAnsi" w:eastAsiaTheme="minorEastAsia"/>
                <w:color w:val="000000" w:themeColor="text1"/>
                <w:sz w:val="18"/>
                <w:szCs w:val="18"/>
              </w:rPr>
            </w:r>
            <w:bookmarkStart w:id="1" w:name="_Hlk515616892"/>
            <w:bookmarkStart w:id="2" w:name="_Hlk515616892"/>
            <w:bookmarkEnd w:id="2"/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Mechanizmy zarządzania </w:t>
            </w:r>
          </w:p>
        </w:tc>
        <w:tc>
          <w:tcPr>
            <w:tcW w:w="8986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Musi wspierać następujące mechanizmy zarządzania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>Możliwość uzyskania dostępu do urządzenia przez SNMPv1/2/3  i SSHv2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 xml:space="preserve">Obsługa monitorowania ruchu na porcie (Port Monitoring), ACL-Based Monitoring oraz RSPAN 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>Urządzenie musi posiadać dedykowany port konsolowy do zarządzania typu RJ45 (konsola) oraz drugi wydzielony 10/100/1000BaseT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>Plik konfiguracyjny urządzenia musi być możliwy do edycji ‘off-line’. Tzn. konieczna jest możliwość przeglądania zmian konfiguracji w pliku tekstowym na dowolnym PC. Po zapisaniu konfiguracji w pamięci nieulotnej musi być możliwe uruchomienie urządzenia z nową konfiguracją. Zmiany aktywnej konfiguracji muszą być widoczne bez częściowych restartów urządzania po dokonaniu zmian.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>Wsparcie dla mechanizmu Beacon LED control – włączenie diody danego interfejsu celem identyfikacji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>Urządzenie musi posiadać funkcjonalność automatycznej instalacji oprogramowania  poprzez ściągnięcie z serwera TFTP pliku z oprogramowaniem (firmware), w trakcie pierwszego podłączenia do sieci Ethernet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>Urządzenie musi mieć możliwość utworzenia skryptów systemu linux oraz uruchomienia skryptów utworzonych w języku Python oraz  umożliwiać jego konfigurację przez narzędzia Ansible, Chef i Puppet</w:t>
            </w:r>
          </w:p>
        </w:tc>
      </w:tr>
      <w:tr>
        <w:trPr>
          <w:trHeight w:val="530" w:hRule="atLeast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Warunki gwarancji</w:t>
            </w:r>
          </w:p>
        </w:tc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3 lata gwarancji producenta z czasem reakcji na następny dzień roboczy od przyjęcia zgłoszenia, możliwość zgłaszania awarii w trybie 24x7x365 poprzez ogólnopolską linię telefoniczną producenta.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Wymagane dołączenie do oferty oświadczenia Producenta potwierdzając, że serwis urządzeń będzie realizowany bezpośrednio przez Producenta i/lub we współpracy z Autoryzowanym Partnerem Serwisowym Producenta.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Możliwość rozszerzenia gwarancji przez producenta do siedmiu lat.</w:t>
            </w:r>
          </w:p>
        </w:tc>
      </w:tr>
      <w:tr>
        <w:trPr>
          <w:trHeight w:val="530" w:hRule="atLeast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Wymagania dodatkowe</w:t>
            </w:r>
          </w:p>
        </w:tc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Zaoferowane urządzenia muszą być nowe, nie dopuszcza się urządzeń używanych lub odnawianych przez producenta ( tzw. refurbished). Urządzenia muszą pochodzić z oficjalnego kanału sprzedaży producenta i być przeznaczone do sprzedaży na terenie Polski. </w:t>
            </w:r>
          </w:p>
        </w:tc>
      </w:tr>
    </w:tbl>
    <w:p>
      <w:pPr>
        <w:pStyle w:val="Tretekstu"/>
        <w:ind w:left="0" w:hanging="0"/>
        <w:rPr>
          <w:rFonts w:ascii="Calibri" w:hAnsi="Calibri" w:cs="Calibri" w:asciiTheme="minorHAnsi" w:cstheme="minorHAnsi" w:hAnsiTheme="minorHAnsi"/>
          <w:spacing w:val="-7"/>
          <w:lang w:val="pl-PL"/>
        </w:rPr>
      </w:pPr>
      <w:r>
        <w:rPr/>
      </w:r>
    </w:p>
    <w:sectPr>
      <w:headerReference w:type="default" r:id="rId2"/>
      <w:type w:val="nextPage"/>
      <w:pgSz w:w="11906" w:h="16838"/>
      <w:pgMar w:left="720" w:right="720" w:gutter="0" w:header="397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Dell Replica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/>
      <w:t>Zał. nr 2 – specyfikacja</w:t>
    </w:r>
  </w:p>
  <w:p>
    <w:pPr>
      <w:pStyle w:val="Tretekstu"/>
      <w:ind w:left="178" w:hanging="0"/>
      <w:rPr>
        <w:rFonts w:ascii="Arial" w:hAnsi="Arial" w:cs="Arial"/>
        <w:spacing w:val="-7"/>
        <w:u w:val="single"/>
        <w:lang w:val="pl-PL"/>
      </w:rPr>
    </w:pPr>
    <w:r>
      <w:rPr>
        <w:rFonts w:cs="Arial" w:ascii="Arial" w:hAnsi="Arial"/>
        <w:spacing w:val="-7"/>
        <w:u w:val="single"/>
        <w:lang w:val="pl-P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9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92453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cd5b05"/>
    <w:rPr>
      <w:rFonts w:ascii="Times New Roman" w:hAnsi="Times New Roman" w:eastAsia="Times New Roman"/>
      <w:sz w:val="20"/>
      <w:szCs w:val="20"/>
      <w:lang w:val="en-US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92453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2453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2453f"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730cfb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730cfb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cd5b05"/>
    <w:pPr>
      <w:widowControl w:val="false"/>
      <w:spacing w:lineRule="auto" w:line="240" w:before="0" w:after="0"/>
      <w:ind w:left="119" w:hanging="0"/>
    </w:pPr>
    <w:rPr>
      <w:rFonts w:ascii="Times New Roman" w:hAnsi="Times New Roman" w:eastAsia="Times New Roman"/>
      <w:sz w:val="20"/>
      <w:szCs w:val="20"/>
      <w:lang w:val="en-US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2453f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2453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2453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730cfb"/>
    <w:pPr>
      <w:spacing w:lineRule="auto" w:line="240" w:before="0" w:after="0"/>
    </w:pPr>
    <w:rPr>
      <w:sz w:val="20"/>
      <w:szCs w:val="20"/>
    </w:rPr>
  </w:style>
  <w:style w:type="paragraph" w:styleId="Pa3" w:customStyle="1">
    <w:name w:val="Pa3"/>
    <w:basedOn w:val="Normal"/>
    <w:next w:val="Normal"/>
    <w:uiPriority w:val="99"/>
    <w:qFormat/>
    <w:rsid w:val="0041364d"/>
    <w:pPr>
      <w:spacing w:lineRule="atLeast" w:line="161" w:before="0" w:after="0"/>
    </w:pPr>
    <w:rPr>
      <w:rFonts w:ascii="Dell Replica" w:hAnsi="Dell Replic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d5b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LibreOffice/7.2.2.2$Windows_X86_64 LibreOffice_project/02b2acce88a210515b4a5bb2e46cbfb63fe97d56</Application>
  <AppVersion>15.0000</AppVersion>
  <Pages>3</Pages>
  <Words>1046</Words>
  <Characters>6680</Characters>
  <CharactersWithSpaces>7664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2021-12-07T12:27:00Z</dcterms:created>
  <dc:creator>m.wicinski</dc:creator>
  <dc:description/>
  <dc:language>pl-PL</dc:language>
  <cp:lastModifiedBy>Marcin Godzich</cp:lastModifiedBy>
  <cp:lastPrinted>2021-12-07T12:59:00Z</cp:lastPrinted>
  <dcterms:modified xsi:type="dcterms:W3CDTF">2021-12-07T13:09:00Z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