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rFonts w:ascii="Arial" w:hAnsi="Arial" w:cs="Arial"/>
        </w:rPr>
      </w:pPr>
      <w:r>
        <w:rPr>
          <w:rFonts w:cs="Arial" w:ascii="Arial" w:hAnsi="Arial"/>
        </w:rPr>
        <w:t>Załącznik nr 1 do zapytania ofertowego – wzór umowy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9"/>
        <w:gridCol w:w="4818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highlight w:val="none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  <w:t>WAG.271.</w:t>
            </w:r>
            <w:r>
              <w:rPr>
                <w:rFonts w:cs="Arial" w:ascii="Arial" w:hAnsi="Arial"/>
                <w:shd w:fill="auto" w:val="clear"/>
              </w:rPr>
              <w:t>05</w:t>
            </w:r>
            <w:r>
              <w:rPr>
                <w:rFonts w:cs="Arial" w:ascii="Arial" w:hAnsi="Arial"/>
                <w:shd w:fill="auto" w:val="clear"/>
              </w:rPr>
              <w:t>.202</w:t>
            </w:r>
            <w:r>
              <w:rPr>
                <w:rFonts w:cs="Arial" w:ascii="Arial" w:hAnsi="Arial"/>
                <w:shd w:fill="auto" w:val="clear"/>
              </w:rPr>
              <w:t>1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Arial" w:hAnsi="Arial" w:cs="Arial"/>
                <w:highlight w:val="none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UMOWA DOSTAWY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Zawarta w dniu ….......................r. w Luboniu pomiędzy: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Miastem Luboń, Pl. Edmunda Bojanowskiego 2, 62-030 Luboń, reprezentowanym przez: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zwanym/ą w treści umowy „Zamawiającym”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a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zwanym/ą w treści umowy „Wykonawcą”,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następującej treści: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1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Arial" w:cs="Arial"/>
          <w:i/>
          <w:i/>
          <w:iCs/>
          <w:lang w:eastAsia="hi-IN"/>
        </w:rPr>
      </w:pPr>
      <w:r>
        <w:rPr>
          <w:rFonts w:cs="Arial" w:ascii="Arial" w:hAnsi="Arial"/>
        </w:rPr>
        <w:t>Przedmiotem umowy jest dostawa sprzętu określonego w ofercie Wykonawcy:</w:t>
      </w:r>
    </w:p>
    <w:p>
      <w:pPr>
        <w:pStyle w:val="Normal"/>
        <w:spacing w:lineRule="auto" w:line="360"/>
        <w:ind w:left="720" w:hanging="0"/>
        <w:jc w:val="both"/>
        <w:rPr>
          <w:rFonts w:ascii="Arial" w:hAnsi="Arial" w:cs="Arial"/>
          <w:spacing w:val="-7"/>
        </w:rPr>
      </w:pPr>
      <w:r>
        <w:rPr>
          <w:rFonts w:cs="Arial" w:ascii="Arial" w:hAnsi="Arial"/>
          <w:spacing w:val="-7"/>
        </w:rPr>
        <w:t>Dwa przełączniki sieciowe (switche) zajmujące razem 1U zgodne z załączoną specyfikacją.</w:t>
      </w:r>
    </w:p>
    <w:p>
      <w:pPr>
        <w:pStyle w:val="Normal"/>
        <w:spacing w:lineRule="auto" w:line="360"/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Szczegółowa specyfikacja przedmiotu zamówienia – zał. nr 1.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Do oferowanego sprzętu dołączone będą karty gwarancyjne i instrukcje obsługi.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Oferowany sprzęt będzie fabrycznie nowy i dostarczony w oryginalnym opakowaniu.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2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zobowiązuje się zrealizować zamówienie w terminie do dnia </w:t>
      </w:r>
      <w:r>
        <w:rPr>
          <w:rFonts w:cs="Arial" w:ascii="Arial" w:hAnsi="Arial"/>
          <w:shd w:fill="auto" w:val="clear"/>
        </w:rPr>
        <w:t>3</w:t>
      </w:r>
      <w:r>
        <w:rPr>
          <w:rFonts w:cs="Arial" w:ascii="Arial" w:hAnsi="Arial"/>
          <w:shd w:fill="auto" w:val="clear"/>
        </w:rPr>
        <w:t>0</w:t>
      </w:r>
      <w:r>
        <w:rPr>
          <w:rFonts w:cs="Arial" w:ascii="Arial" w:hAnsi="Arial"/>
          <w:shd w:fill="auto" w:val="clear"/>
        </w:rPr>
        <w:t>.12.2021 r.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zawiadomi przedstawiciela Zamawiającego o rozpoczęciu realizacji umowy z co najmniej dwudniowym wyprzedzeniem.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Miejsce dostawy – Urząd Miasta Luboń, Pl. Edmunda Bojanowskiego 2, 62-030 Luboń.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Osobą odpowiedzialną za realizację niniejszej umowy ze strony Zamawiającego jest Pan Marcin Godzich.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Odbiór sprzętu w miejscu następuje dwuetapowo: </w:t>
      </w:r>
    </w:p>
    <w:p>
      <w:pPr>
        <w:pStyle w:val="Normal"/>
        <w:numPr>
          <w:ilvl w:val="0"/>
          <w:numId w:val="4"/>
        </w:numPr>
        <w:spacing w:lineRule="auto" w:line="360"/>
        <w:ind w:left="1418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odbiór ilościowy – w chwili dostawy, </w:t>
      </w:r>
    </w:p>
    <w:p>
      <w:pPr>
        <w:pStyle w:val="Normal"/>
        <w:numPr>
          <w:ilvl w:val="0"/>
          <w:numId w:val="4"/>
        </w:numPr>
        <w:spacing w:lineRule="auto" w:line="360"/>
        <w:ind w:left="1418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odbiór jakościowy – po rozpakowaniu urządzenia i uruchomieniu zgodnie z dostarczoną instrukcją przez Zamawiającego.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Odbiory sprzętu zakończone są protokołami odbioru (zał. nr 2) z wyszczególnieniem ilościowym sprzętu wraz z numerami seryjnymi oraz potwierdzeniem jego kompletności (odbiór ilościowy) i sprawności (odbiór jakościowy).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 3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W ramach dostawy, Wykonawca zaoferuje 3 lata gwarancji producenta z możliwością rozszerzenia gwarancji przez producenta do siedmiu lat.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Czas reakcji w ramach gwarancji na następny dzień roboczy od przyjęcia zgłoszenia. Możliwość zgłaszania awarii w trybie 24x7x365 poprzez ogólnopolską linię telefoniczną producenta.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dołączy do oferty oświadczenie Producenta potwierdzając, że serwis będzie realizowany bezpośrednio przez Producenta i/lub we współpracy z Autoryzowanym partnerem Serwisowym Producenta.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4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Cena za zrealizowanie przedmiotu umowy wynosi ……………..….. zł brutto (słownie: …………………………………………….………..).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Podstawę do zapłaty należności stanowi faktura VAT sporządzona po wykonaniu przedmiotu zamówienia potwierdzonego protokołami odbioru ilościowego i jakościowego.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Zapłata nastąpi przelewem w terminie do 14 dni od daty wpływu faktury do Zamawiającego.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5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Wszelkie zmiany niniejszej umowy wymagają formy pisemnej, pod rygorem nieważności.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7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Integralną część umowy stanowi oferta Wykonawcy.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§ 8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W sprawach nie uregulowanych postanowieniami niniejszej umowy mają zastosowanie odpowiednie przepisy Kodeksu Cywilnego. 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§ 9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 xml:space="preserve">Umowę sporządzono w dwóch jednobrzmiących egzemplarzach, po jednym dla każdej ze Stron.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§ </w:t>
      </w:r>
      <w:r>
        <w:rPr>
          <w:rFonts w:ascii="Arial" w:hAnsi="Arial"/>
          <w:b/>
          <w:bCs/>
          <w:sz w:val="24"/>
          <w:szCs w:val="24"/>
        </w:rPr>
        <w:t>10</w:t>
      </w:r>
    </w:p>
    <w:p>
      <w:pPr>
        <w:pStyle w:val="Nagwek1"/>
        <w:numPr>
          <w:ilvl w:val="0"/>
          <w:numId w:val="0"/>
        </w:numPr>
        <w:spacing w:before="0" w:after="0"/>
        <w:ind w:hanging="0"/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Dane osobowe</w:t>
      </w:r>
    </w:p>
    <w:p>
      <w:pPr>
        <w:pStyle w:val="ListParagraph"/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>Podanie danych osobowych jest niezbędne do zawarcia i wykonania umowy.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>Dane osobowe wskazane w umowie (oraz w załącznikach do niej) będą przetwarzane w celu jej zawarcia i wykonania.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>Informacje na temat przetwarzania danych osobowych znajdują się pod adresem: http://bip.lubon.pl.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Załączniki do umowy: 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Załącznik nr 1 - Szczegółowa specyfikacja przedmiotu zamówienia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  <w:sz w:val="20"/>
          <w:szCs w:val="20"/>
        </w:rPr>
        <w:t>Załącznik nr 2 -  Protokół odbioru ilościowego/jakościowego;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9"/>
        <w:gridCol w:w="4818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Wykonawca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Zamawiający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75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76"/>
        <w:gridCol w:w="4875"/>
      </w:tblGrid>
      <w:tr>
        <w:trPr/>
        <w:tc>
          <w:tcPr>
            <w:tcW w:w="487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6"/>
                <w:szCs w:val="16"/>
                <w:u w:val="single"/>
              </w:rPr>
              <w:t>Zał. nr 1</w:t>
            </w:r>
            <w:r>
              <w:rPr>
                <w:rFonts w:cs="Arial" w:ascii="Arial" w:hAnsi="Arial"/>
                <w:sz w:val="16"/>
                <w:szCs w:val="16"/>
              </w:rPr>
              <w:t xml:space="preserve"> do umowy dostawy</w:t>
            </w:r>
          </w:p>
        </w:tc>
        <w:tc>
          <w:tcPr>
            <w:tcW w:w="4875" w:type="dxa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Szczegółowa specyfikacja przedmiotu zamówienia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Zał. nr 1 – specyfikacja</w:t>
      </w:r>
    </w:p>
    <w:p>
      <w:pPr>
        <w:pStyle w:val="Tretekstu"/>
        <w:widowControl w:val="false"/>
        <w:numPr>
          <w:ilvl w:val="0"/>
          <w:numId w:val="9"/>
        </w:numPr>
        <w:suppressAutoHyphens w:val="false"/>
        <w:spacing w:lineRule="auto" w:line="240" w:before="0" w:after="0"/>
        <w:rPr>
          <w:rFonts w:ascii="Arial" w:hAnsi="Arial" w:cs="Arial"/>
          <w:spacing w:val="-7"/>
          <w:u w:val="single"/>
        </w:rPr>
      </w:pPr>
      <w:r>
        <w:rPr>
          <w:rFonts w:cs="Arial" w:ascii="Arial" w:hAnsi="Arial"/>
          <w:spacing w:val="-7"/>
          <w:u w:val="single"/>
        </w:rPr>
        <w:t>Dwa przełączniki sieciowe (switch) zajmujące razem 1U.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07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3"/>
        <w:gridCol w:w="8986"/>
      </w:tblGrid>
      <w:tr>
        <w:trPr/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color w:val="FFFFFF" w:themeColor="background1"/>
                <w:sz w:val="18"/>
                <w:szCs w:val="18"/>
              </w:rPr>
              <w:t>Komponent</w:t>
            </w:r>
          </w:p>
        </w:tc>
        <w:tc>
          <w:tcPr>
            <w:tcW w:w="8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color w:val="FFFFFF" w:themeColor="background1"/>
                <w:sz w:val="18"/>
                <w:szCs w:val="18"/>
              </w:rPr>
              <w:t>Minimalne wymagania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Porty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Przełącznik 1U wyposażony w porty: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>- 12 x 10 Gigabit Ethernet SFP+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>- 3 x 100 Gigabit Ethernet QSFP28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 xml:space="preserve">- 1 port konsolowy RJ45 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en-US"/>
              </w:rPr>
              <w:t xml:space="preserve">- 1 port ethernet RJ-45, out-of-band management  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- 1 port USB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System operacyjny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Modularny system operacyjny,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być zgodny ze standardem ONIE i  umożliwiać instalacje systemów operacyjnych innych producentów, w celu uzyskania dodatkowych funkcjonalności.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2 redundantne zasilacze AC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RACK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zapewniać instalację w szafach 19”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Pamięć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Pamięć CPU: 4GB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Pojemność bufora pakietów: 12MB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Wydajność 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posiadać matrycę przełączającą o wydajności min. 840Gbps (full-duplex), 630 Mpps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Szybkość przełączania ramki w obrębie przełącznika maksymalnie 800 nano sekund;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Chłodzenie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posiadać możliwość chłodzenia urządzenia w trybie przód-do-tyłu lub tył-do-przodu (ustawienia fabryczne).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Temperatura pracy w przedziale 0-40 stopni Celcjusza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Funkcjonalności warstwy II 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ramki „Jumbo” o długości min. 9400  B.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obsługiwać, co najmniej 4000 VLANów. 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Pamięć, dla co najmniej 160 000 adresów MAC.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obsługiwać, co najmniej protokoły: STP, RSTP, PVST+, MSTP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funkcjonalność wirtualnej agregacji portów umożliwiającą:</w:t>
              <w:br/>
              <w:t xml:space="preserve">- terminowanie pojedynczej wiązki EtherChannel/LACP wyprowadzonej z urządzenia zewnętrznego (serwera, przełącznika) na 2 niezależnych opisywanych urządzeniach </w:t>
              <w:br/>
              <w:t xml:space="preserve">- budowę topologii sieci bez pętli z pełnym wykorzystaniem agregowanych łączy </w:t>
              <w:br/>
              <w:t xml:space="preserve">- umożliwiać wysokodostępny mechanizm kontroli dla 2 niezależnych opisywanych urządzeń 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Urządzenie musi posiadać możliwość definiowana łączy w grupy LAG (802.3ad). Obsługa min. 16 łączy w grupie LAG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DCB (Data Center Bridging),  802.1Qbb Priority-Based Flow Control, funkcjonalnosć DCB oraz PFC i ECN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Musi zapewniać sprzętowe wsparcie dla L3 VXLAN routing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080" w:hanging="0"/>
              <w:contextualSpacing/>
              <w:rPr>
                <w:rFonts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  <w:lang w:val="pl-PL"/>
              </w:rPr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być zgodniy z następującymi standardami IEEE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802.1AB LLDP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TIA-1057 LLDP-MED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802.1s MSTP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802.1w RSTP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802.3ab Gigabit Ethernet (1000Base-T)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802.3ad Link Aggregation with LACP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802.3ae 10 Gigabit Ethernet (10GBase-X)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802.3ba 40 Gigabit Ethernet (40GBase-X)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802.3i Ethernet (10Base-T)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802.3u Fast Ethernet (100Base-TX)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802.3z Gigabit Ethernet (1000BaseX)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802.1D Bridging, 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802.1p L2 Prioritization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 VLAN Tagging, Double VLAN Tagging, GVRP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802.1Qbb PFC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802.1Qaz ETS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802.1s MSTP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802.1w RSTP PVST+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802.1X Network Access Control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802.3ab Gigabit Ethernet (1000BASE-T) or breakout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802.3ac Frame Extensions for VLAN Tagging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802.3ad Link Aggregation with LACP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802.3ae 10 Gigabit Ethernet (10GBase-X)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802.3ba 40 Gigabit Ethernet (40GBase- SR4, 40GBase-CR4, 40GBase-LR4, 100GBase-SR10, 100GBase-LR4, 100GBase-ER4) on optical ports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802.3bj 100 Gigabit Ethernet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802.3u Fast Ethernet (100Base-TX) na porcie zarządzania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802.3x Flow Control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802.3z Gigabit Ethernet (1000Base-X) z adapterem QSA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ANSI/TIA-1057 LLDP-MED </w:t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Funkcjonalności warstwy III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protokoły dynamicznego routing  dla IPv4 i dla IPv6: OSPF, BGP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protokół BFD, przynajmniej dla protokłu OSPF i OSFP v3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przechowywać  minimum  200 000 wpisów rotingu IPv4 i minimum 160 000 wpisów routigu IPv6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mechanizm L3 ECMP Load Balancing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wspierać protokół redundancji VRRP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Wsparcie dla DHCP server i DHCP Relay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Obsługa Policy Based Routing 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funkcjonalność VxLAN, Static VxLan, BGP eVPN oraz BGP eVPN Layer2 Vxlan gateway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Musi obsługiwać poniższe standardy w zakresie protokołów routingu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791 IPv4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792 ICMP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826 ARP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1027 Proxy ARP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1035 DNS (client)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1042 Ethernet Transmission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1191 Path MTU Discovery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1305 NTPv4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1519 CIDR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1812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1858 IP Fragment Filtering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2131 DHCP (server and relay)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5798 VRRP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3021 31-bit Prefixes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3046 DHCP Option 82 (Relay)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1812 Requirements for IPv4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1918 Address Allocation for Private Internets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2474 Diffserv Field in IPv4 and Ipv6 Headers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2596 Assured Forwarding PHB Group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3195 Reliable Delivery for Syslog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3246 Expedited Assured Forwarding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COPP: Control Plane Policing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Policy Based Routing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2460 IPv6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2462 Stateless Address AutoConfig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2463 ICMPv6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2464 Ethernet Transmission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2675 Jumbo grams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3587 Global Unicast Address Format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4291 IPv6 Addressing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2464 Transmission of IPv6 Packets over Ethernet Networks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2711 IPv6 Router Alert Option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4007 IPv6 Scoped Address Architecture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4213 Basic Transition Mechanisms for IPv6 Hosts and Routers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Dla protokołu OSPF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1587 NSSA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</w:rPr>
              <w:t xml:space="preserve">1745 OSPF/BGP interaction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1765 OSPF Database overflow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2154 MD5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2328 OSPFv2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2370 Opaque LSA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3101 OSPF NSSA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>Dla protokołu BGP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1997 BGP Communities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2385 MD5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2439 Route Flap Damping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2796 Route Reflection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2842 Capabilities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2918 Route Refresh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3065 Confederations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4271 BGP-4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4360 Extended Communities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4893 4-byte ASN </w:t>
            </w:r>
          </w:p>
          <w:p>
            <w:pPr>
              <w:pStyle w:val="Pa3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5396 4-byte ASN Representation </w:t>
            </w:r>
          </w:p>
          <w:p>
            <w:pPr>
              <w:pStyle w:val="Normal"/>
              <w:widowControl w:val="false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Mechanizmy bezpieczeństwa i QoS</w:t>
            </w:r>
          </w:p>
        </w:tc>
        <w:tc>
          <w:tcPr>
            <w:tcW w:w="89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związane z zapewnieniem, jakości obsługi (QoS) w sieci: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Klasyfikacja ruchu dla klas różnej, jakości obsługi QoS poprzez wykorzystanie, co najmniej następujących paramentów: źródłowy/docelowy adres MAC, źródłowy/docelowy adres IP, vlan, wartość DSCP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 xml:space="preserve">Implementacja, co najmniej 8 kolejek sprzętowych na każdym porcie wyjściowym dla obsługi ruchu o różnej klasie obsługi. 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 xml:space="preserve">Możliwość obsługi jednej z powyższych kolejek z bezwzględnym priorytetem w stosunku do innych (Strict Priority). 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Implementacja mechanizmu Weighted Random Early Detection (WRED)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</w:rPr>
              <w:t>Obsługa IP Precedence i DSCP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Obsługa Control-Plane-Policing (ochrona systemu operacyjnego przd atakami DoS)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związane z zarządzaniem i zapewnieniem bezpieczeństwa w sieci: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Co najmniej 3 poziomy dostępu administracyjnego przez konsole: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 xml:space="preserve">Autoryzacja użytkowników/portów w oparciu o 802.1x 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Obsługa List dostępu ACL dla adresów MAC i adresów IPv4 i IPv6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color w:val="000000" w:themeColor="text1"/>
                <w:sz w:val="18"/>
                <w:szCs w:val="18"/>
              </w:rPr>
            </w:r>
            <w:bookmarkStart w:id="0" w:name="_Hlk515616892"/>
            <w:bookmarkStart w:id="1" w:name="_Hlk515616892"/>
            <w:bookmarkEnd w:id="1"/>
          </w:p>
        </w:tc>
      </w:tr>
      <w:tr>
        <w:trPr/>
        <w:tc>
          <w:tcPr>
            <w:tcW w:w="1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Mechanizmy zarządzania </w:t>
            </w:r>
          </w:p>
        </w:tc>
        <w:tc>
          <w:tcPr>
            <w:tcW w:w="8986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Musi wspierać następujące mechanizmy zarządzania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Możliwość uzyskania dostępu do urządzenia przez SNMPv1/2/3  i SSHv2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 xml:space="preserve">Obsługa monitorowania ruchu na porcie (Port Monitoring), ACL-Based Monitoring oraz RSPAN 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Urządzenie musi posiadać dedykowany port konsolowy do zarządzania typu RJ45 (konsola) oraz drugi wydzielony 10/100/1000BaseT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Plik konfiguracyjny urządzenia musi być możliwy do edycji ‘off-line’. Tzn. konieczna jest możliwość przeglądania zmian konfiguracji w pliku tekstowym na dowolnym PC. Po zapisaniu konfiguracji w pamięci nieulotnej musi być możliwe uruchomienie urządzenia z nową konfiguracją. Zmiany aktywnej konfiguracji muszą być widoczne bez częściowych restartów urządzania po dokonaniu zmian.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Wsparcie dla mechanizmu Beacon LED control – włączenie diody danego interfejsu celem identyfikacji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Urządzenie musi posiadać funkcjonalność automatycznej instalacji oprogramowania  poprzez ściągnięcie z serwera TFTP pliku z oprogramowaniem (firmware), w trakcie pierwszego podłączenia do sieci Ethernet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18"/>
                <w:szCs w:val="18"/>
                <w:lang w:val="pl-PL"/>
              </w:rPr>
              <w:t>Urządzenie musi mieć możliwość utworzenia skryptów systemu linux oraz uruchomienia skryptów utworzonych w języku Python oraz  umożliwiać jego konfigurację przez narzędzia Ansible, Chef i Puppet</w:t>
            </w:r>
          </w:p>
        </w:tc>
      </w:tr>
      <w:tr>
        <w:trPr>
          <w:trHeight w:val="530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Warunki gwarancji</w:t>
            </w: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3 lata gwarancji producenta z czasem reakcji na następny dzień roboczy od przyjęcia zgłoszenia, możliwość zgłaszania awarii w trybie 24x7x365 poprzez ogólnopolską linię telefoniczną producenta.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Możliwość rozszerzenia gwarancji przez producenta do siedmiu lat.</w:t>
            </w:r>
          </w:p>
        </w:tc>
      </w:tr>
      <w:tr>
        <w:trPr>
          <w:trHeight w:val="530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18"/>
                <w:szCs w:val="18"/>
              </w:rPr>
              <w:t>Wymagania dodatkowe</w:t>
            </w: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Zaoferowane urządzenia muszą być nowe, nie dopuszcza się urządzeń używanych lub odnawianych przez producenta (tzw. refurbished). Urządzenia muszą pochodzić z oficjalnego kanału sprzedaży producenta i być przeznaczone do sprzedaży na terenie Polski. </w:t>
            </w:r>
          </w:p>
        </w:tc>
      </w:tr>
    </w:tbl>
    <w:p>
      <w:pPr>
        <w:pStyle w:val="Normal"/>
        <w:rPr>
          <w:rFonts w:ascii="Dell Replica" w:hAnsi="Dell Replica" w:cs="Dell Replica"/>
          <w:color w:val="000000" w:themeColor="text1"/>
        </w:rPr>
      </w:pPr>
      <w:r>
        <w:rPr>
          <w:rFonts w:cs="Dell Replica" w:ascii="Dell Replica" w:hAnsi="Dell Replic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tbl>
      <w:tblPr>
        <w:tblW w:w="98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5"/>
        <w:gridCol w:w="236"/>
      </w:tblGrid>
      <w:tr>
        <w:trPr/>
        <w:tc>
          <w:tcPr>
            <w:tcW w:w="9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u w:val="single"/>
              </w:rPr>
              <w:t>Zał. nr 2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do umowy dostawy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b/>
          <w:color w:val="000000"/>
        </w:rPr>
        <w:t>Protokół odbioru ilościowego i jakościowego</w:t>
      </w:r>
      <w:r>
        <w:rPr>
          <w:rFonts w:cs="Arial" w:ascii="Arial" w:hAnsi="Arial"/>
        </w:rPr>
        <w:t xml:space="preserve"> </w:t>
      </w:r>
    </w:p>
    <w:tbl>
      <w:tblPr>
        <w:tblW w:w="966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9"/>
        <w:gridCol w:w="4842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Wykonawca:</w:t>
            </w:r>
          </w:p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Zamawiający:</w:t>
            </w:r>
          </w:p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Miasto Luboń</w:t>
            </w:r>
          </w:p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Pl. Edmunda Bojanowskiego 2</w:t>
            </w:r>
          </w:p>
          <w:p>
            <w:pPr>
              <w:pStyle w:val="Zawartotabeli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62-030 Luboń</w:t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 dniu .................. 2021 roku, Wykonawca przeprowadził odbiór ilościowy i jakościowy sprzętu dostarczonego na podstawie umowy nr ……………….…………………..  z dnia .................. 2021 roku.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Przedmiot dostawy i odbioru </w:t>
      </w:r>
    </w:p>
    <w:tbl>
      <w:tblPr>
        <w:tblW w:w="1026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11"/>
        <w:gridCol w:w="6651"/>
        <w:gridCol w:w="3106"/>
      </w:tblGrid>
      <w:tr>
        <w:trPr>
          <w:tblHeader w:val="true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3B3B3" w:val="clear"/>
            <w:vAlign w:val="center"/>
          </w:tcPr>
          <w:p>
            <w:pPr>
              <w:pStyle w:val="Zawartotabeli"/>
              <w:widowControl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Nr seryjny</w:t>
            </w:r>
          </w:p>
        </w:tc>
      </w:tr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Dwa przełączniki sieciowe (switche) zajmujące razem 1U – 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………………………………………………………………</w:t>
            </w:r>
            <w:r>
              <w:rPr>
                <w:rFonts w:cs="Arial" w:ascii="Arial" w:hAnsi="Arial"/>
              </w:rPr>
              <w:t>..…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(wpisać producenta i model)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numPr>
          <w:ilvl w:val="0"/>
          <w:numId w:val="6"/>
        </w:numPr>
        <w:ind w:left="0" w:hanging="6"/>
        <w:jc w:val="both"/>
        <w:rPr>
          <w:rFonts w:ascii="Arial" w:hAnsi="Arial" w:cs="Arial"/>
        </w:rPr>
      </w:pPr>
      <w:r>
        <w:rPr>
          <w:rFonts w:cs="Arial" w:ascii="Arial" w:hAnsi="Arial"/>
        </w:rPr>
        <w:t>Konfiguracja i wyposażenie dostarczonego sprzętu jest zgodna ze specyfikacją zawartą w/w umowie.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Data podpisania protokołu jest datą rozpoczęcia okresu gwarancyjnego.</w:t>
      </w:r>
    </w:p>
    <w:p>
      <w:pPr>
        <w:pStyle w:val="Normal"/>
        <w:numPr>
          <w:ilvl w:val="0"/>
          <w:numId w:val="6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Niniejszy protokół sporządzono w dwóch jednobrzmiących egzemplarzach, po jednym dla każdej ze stron.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9"/>
        <w:gridCol w:w="4818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…</w:t>
            </w:r>
            <w:r>
              <w:rPr>
                <w:rFonts w:cs="Arial" w:ascii="Arial" w:hAnsi="Arial"/>
              </w:rPr>
              <w:t>....................................</w:t>
            </w:r>
          </w:p>
          <w:p>
            <w:pPr>
              <w:pStyle w:val="Zawartotabeli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Wykonawca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…</w:t>
            </w:r>
            <w:r>
              <w:rPr>
                <w:rFonts w:cs="Arial" w:ascii="Arial" w:hAnsi="Arial"/>
              </w:rPr>
              <w:t>....................................</w:t>
            </w:r>
          </w:p>
          <w:p>
            <w:pPr>
              <w:pStyle w:val="Zawartotabeli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Zamawiający</w:t>
            </w:r>
          </w:p>
          <w:p>
            <w:pPr>
              <w:pStyle w:val="Zawartotabeli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134" w:bottom="141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Dell Replic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b w:val="false"/>
        <w:iCs/>
        <w:bCs w:val="false"/>
        <w:rFonts w:ascii="Liberation Serif" w:hAnsi="Liberation Serif" w:eastAsia="Arial" w:cs="Arial"/>
        <w:lang w:eastAsia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/>
        <w:szCs w:val="24"/>
        <w:iCs/>
        <w:rFonts w:ascii="Liberation Serif" w:hAnsi="Liberation Serif" w:eastAsia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eastAsia="Arial" w:cs="Arial"/>
        <w:lang w:eastAsia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eastAsia="Arial" w:cs="Arial"/>
        <w:lang w:eastAsia="hi-I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78" w:hanging="178"/>
      </w:pPr>
      <w:rPr>
        <w:sz w:val="20"/>
        <w:spacing w:val="-1"/>
        <w:b/>
        <w:szCs w:val="20"/>
        <w:bCs/>
        <w:w w:val="99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96" w:hanging="361"/>
      </w:pPr>
      <w:rPr>
        <w:sz w:val="20"/>
        <w:spacing w:val="1"/>
        <w:szCs w:val="20"/>
        <w:w w:val="99"/>
        <w:rFonts w:ascii="Times New Roman" w:hAnsi="Times New Roman" w:eastAsia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596" w:hanging="361"/>
      </w:pPr>
      <w:rPr>
        <w:sz w:val="20"/>
        <w:spacing w:val="-1"/>
        <w:b/>
        <w:szCs w:val="20"/>
        <w:bCs/>
        <w:w w:val="99"/>
        <w:rFonts w:ascii="Times New Roman" w:hAnsi="Times New Roman" w:eastAsia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42" w:hanging="361"/>
      </w:pPr>
      <w:rPr>
        <w:sz w:val="20"/>
        <w:spacing w:val="-1"/>
        <w:b/>
        <w:szCs w:val="20"/>
        <w:bCs/>
        <w:w w:val="99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087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3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5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70" w:hanging="361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60"/>
      <w:jc w:val="center"/>
      <w:outlineLvl w:val="0"/>
    </w:pPr>
    <w:rPr>
      <w:rFonts w:ascii="Times New Roman" w:hAnsi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4z0" w:customStyle="1">
    <w:name w:val="WW8Num4z0"/>
    <w:qFormat/>
    <w:rPr>
      <w:rFonts w:ascii="Liberation Serif" w:hAnsi="Liberation Serif" w:eastAsia="Arial" w:cs="Arial"/>
      <w:b w:val="false"/>
      <w:bCs w:val="false"/>
      <w:i/>
      <w:iCs/>
      <w:lang w:eastAsia="hi-IN"/>
    </w:rPr>
  </w:style>
  <w:style w:type="character" w:styleId="WW8Num4z1" w:customStyle="1">
    <w:name w:val="WW8Num4z1"/>
    <w:qFormat/>
    <w:rPr>
      <w:i/>
      <w:iCs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Liberation Serif" w:hAnsi="Liberation Serif" w:eastAsia="Arial" w:cs="Arial"/>
      <w:i/>
      <w:iCs/>
      <w:sz w:val="24"/>
      <w:szCs w:val="24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Verdana" w:hAnsi="Verdana" w:cs="Verdana"/>
      <w:b/>
      <w:bCs/>
      <w:i/>
      <w:iCs/>
      <w:sz w:val="24"/>
      <w:szCs w:val="24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OpenSymbol"/>
    </w:rPr>
  </w:style>
  <w:style w:type="character" w:styleId="WW8Num9z1" w:customStyle="1">
    <w:name w:val="WW8Num9z1"/>
    <w:qFormat/>
    <w:rPr>
      <w:rFonts w:ascii="OpenSymbol" w:hAnsi="OpenSymbol" w:cs="OpenSymbol"/>
    </w:rPr>
  </w:style>
  <w:style w:type="character" w:styleId="WW8Num2z0" w:customStyle="1">
    <w:name w:val="WW8Num2z0"/>
    <w:qFormat/>
    <w:rPr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7774ae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en-US" w:eastAsia="en-US" w:bidi="ar-SA"/>
    </w:rPr>
  </w:style>
  <w:style w:type="paragraph" w:styleId="Pa3" w:customStyle="1">
    <w:name w:val="Pa3"/>
    <w:basedOn w:val="Normal"/>
    <w:next w:val="Normal"/>
    <w:uiPriority w:val="99"/>
    <w:qFormat/>
    <w:rsid w:val="007774ae"/>
    <w:pPr>
      <w:suppressAutoHyphens w:val="false"/>
      <w:spacing w:lineRule="atLeast" w:line="161"/>
    </w:pPr>
    <w:rPr>
      <w:rFonts w:ascii="Dell Replica" w:hAnsi="Dell Replica" w:eastAsia="Calibri" w:cs="" w:cstheme="minorBidi" w:eastAsiaTheme="minorHAnsi"/>
      <w:kern w:val="0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basedOn w:val="Standardowy"/>
    <w:uiPriority w:val="41"/>
    <w:rsid w:val="00447be7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231984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6142a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LibreOffice/7.2.2.2$Windows_X86_64 LibreOffice_project/02b2acce88a210515b4a5bb2e46cbfb63fe97d56</Application>
  <AppVersion>15.0000</AppVersion>
  <Pages>7</Pages>
  <Words>1598</Words>
  <Characters>10454</Characters>
  <CharactersWithSpaces>11937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2021-12-07T12:13:00Z</dcterms:created>
  <dc:creator>Marcin Wiciński</dc:creator>
  <dc:description/>
  <dc:language>pl-PL</dc:language>
  <cp:lastModifiedBy>Janusz Piasecki</cp:lastModifiedBy>
  <cp:lastPrinted>1899-12-31T23:00:00Z</cp:lastPrinted>
  <dcterms:modified xsi:type="dcterms:W3CDTF">2021-12-07T19:51:38Z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